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BC94F8" w14:textId="77777777" w:rsidR="00A6157C" w:rsidRDefault="00E17513">
      <w:pPr>
        <w:pStyle w:val="c2"/>
        <w:spacing w:before="0" w:beforeAutospacing="0" w:after="0" w:afterAutospacing="0"/>
        <w:rPr>
          <w:rStyle w:val="c61"/>
          <w:rFonts w:ascii="Arial" w:hAnsi="Arial" w:cs="Arial"/>
          <w:b/>
          <w:bCs/>
          <w:sz w:val="24"/>
          <w:szCs w:val="24"/>
        </w:rPr>
      </w:pPr>
      <w:r>
        <w:rPr>
          <w:rStyle w:val="c61"/>
          <w:rFonts w:ascii="Arial" w:hAnsi="Arial" w:cs="Arial"/>
          <w:b/>
          <w:bCs/>
          <w:sz w:val="24"/>
          <w:szCs w:val="24"/>
        </w:rPr>
        <w:t xml:space="preserve">TEMAS Y DEBATES </w:t>
      </w:r>
    </w:p>
    <w:p w14:paraId="7CABB8F2" w14:textId="77777777" w:rsidR="00A6157C" w:rsidRDefault="00A6157C">
      <w:pPr>
        <w:pStyle w:val="c2"/>
        <w:spacing w:before="0" w:beforeAutospacing="0" w:after="0" w:afterAutospacing="0"/>
        <w:rPr>
          <w:rStyle w:val="c61"/>
          <w:rFonts w:ascii="Arial" w:hAnsi="Arial" w:cs="Arial"/>
          <w:sz w:val="24"/>
          <w:szCs w:val="24"/>
        </w:rPr>
      </w:pPr>
    </w:p>
    <w:p w14:paraId="62E3075C" w14:textId="5E1FC2CE" w:rsidR="00A6157C" w:rsidRDefault="00E17513">
      <w:pPr>
        <w:pStyle w:val="c2"/>
        <w:spacing w:before="0" w:beforeAutospacing="0" w:after="0" w:afterAutospacing="0"/>
        <w:rPr>
          <w:rStyle w:val="c61"/>
        </w:rPr>
      </w:pPr>
      <w:r>
        <w:rPr>
          <w:rStyle w:val="c61"/>
        </w:rPr>
        <w:t>Propuesta de desobediencia civil organizada desde la medicina académica frente a la decisión del Tribunal Supremo en el caso</w:t>
      </w:r>
      <w:r>
        <w:rPr>
          <w:rStyle w:val="c171"/>
        </w:rPr>
        <w:t xml:space="preserve"> Dobbs vs</w:t>
      </w:r>
      <w:r>
        <w:rPr>
          <w:rStyle w:val="c61"/>
        </w:rPr>
        <w:t xml:space="preserve"> la Asociación </w:t>
      </w:r>
      <w:r w:rsidR="00211EB8">
        <w:rPr>
          <w:rStyle w:val="c61"/>
        </w:rPr>
        <w:t>de Salud de la Mujer de Jackson</w:t>
      </w:r>
    </w:p>
    <w:p w14:paraId="3A9E408B" w14:textId="77777777" w:rsidR="00A6157C" w:rsidRDefault="00A6157C">
      <w:pPr>
        <w:pStyle w:val="c2"/>
        <w:spacing w:before="0" w:beforeAutospacing="0" w:after="0" w:afterAutospacing="0"/>
        <w:rPr>
          <w:i/>
          <w:iCs/>
        </w:rPr>
      </w:pPr>
    </w:p>
    <w:p w14:paraId="641EF274" w14:textId="77777777" w:rsidR="00A6157C" w:rsidRDefault="00E17513">
      <w:pPr>
        <w:pStyle w:val="c0"/>
        <w:pBdr>
          <w:bottom w:val="single" w:sz="12" w:space="1" w:color="auto"/>
        </w:pBdr>
        <w:spacing w:before="0" w:beforeAutospacing="0" w:after="0" w:afterAutospacing="0"/>
        <w:rPr>
          <w:rStyle w:val="c141"/>
          <w:sz w:val="28"/>
          <w:szCs w:val="28"/>
        </w:rPr>
      </w:pPr>
      <w:r>
        <w:rPr>
          <w:rStyle w:val="c141"/>
          <w:sz w:val="28"/>
          <w:szCs w:val="28"/>
        </w:rPr>
        <w:t>Martin Donohoe</w:t>
      </w:r>
    </w:p>
    <w:p w14:paraId="124843CE" w14:textId="77777777" w:rsidR="00A6157C" w:rsidRDefault="00A6157C">
      <w:pPr>
        <w:rPr>
          <w:rStyle w:val="c141"/>
          <w:sz w:val="28"/>
          <w:szCs w:val="28"/>
        </w:rPr>
        <w:sectPr w:rsidR="00A6157C" w:rsidSect="00FD681B">
          <w:footerReference w:type="default" r:id="rId8"/>
          <w:pgSz w:w="12240" w:h="15840"/>
          <w:pgMar w:top="1440" w:right="1440" w:bottom="1418" w:left="1440" w:header="709" w:footer="709" w:gutter="0"/>
          <w:pgNumType w:start="40"/>
          <w:cols w:space="708"/>
          <w:docGrid w:linePitch="360"/>
        </w:sectPr>
      </w:pPr>
    </w:p>
    <w:p w14:paraId="795DEC61" w14:textId="77777777" w:rsidR="00A6157C" w:rsidRDefault="00A6157C">
      <w:pPr>
        <w:rPr>
          <w:rStyle w:val="c141"/>
          <w:sz w:val="16"/>
          <w:szCs w:val="16"/>
        </w:rPr>
        <w:sectPr w:rsidR="00A6157C">
          <w:type w:val="continuous"/>
          <w:pgSz w:w="12240" w:h="15840"/>
          <w:pgMar w:top="1417" w:right="1701" w:bottom="1417" w:left="1701" w:header="708" w:footer="708" w:gutter="0"/>
          <w:cols w:space="720"/>
        </w:sectPr>
      </w:pPr>
    </w:p>
    <w:p w14:paraId="23424E6F" w14:textId="77777777" w:rsidR="00A6157C" w:rsidRDefault="00E17513">
      <w:pPr>
        <w:pStyle w:val="c2"/>
        <w:spacing w:before="0" w:beforeAutospacing="0" w:after="0" w:afterAutospacing="0"/>
        <w:jc w:val="both"/>
        <w:rPr>
          <w:sz w:val="22"/>
          <w:szCs w:val="22"/>
          <w:vertAlign w:val="superscript"/>
        </w:rPr>
      </w:pPr>
      <w:r>
        <w:rPr>
          <w:rStyle w:val="c19"/>
        </w:rPr>
        <w:lastRenderedPageBreak/>
        <w:t xml:space="preserve">En respuesta a la crisis de salud para las mujeres, coronada por la decisión </w:t>
      </w:r>
      <w:r>
        <w:rPr>
          <w:rStyle w:val="c51"/>
        </w:rPr>
        <w:t xml:space="preserve">Dobbs </w:t>
      </w:r>
      <w:r>
        <w:rPr>
          <w:rStyle w:val="c19"/>
        </w:rPr>
        <w:t xml:space="preserve">por parte del Tribunal Supremo, tras la cual la mitad de los estados en EUA podrían ilegalizar el aborto (y potencialmente la fecundación </w:t>
      </w:r>
      <w:r>
        <w:rPr>
          <w:rStyle w:val="c51"/>
        </w:rPr>
        <w:t>in vitro</w:t>
      </w:r>
      <w:r>
        <w:rPr>
          <w:rStyle w:val="c19"/>
        </w:rPr>
        <w:t>, la anticoncepción de emergencia e, incluso, el tratamiento del embarazo ectópico y el aborto parcial espontáneo o el "de callejón"). La profesión médica ha respondido con declaraciones de condena a la sentencia, marchas de protesta, programas de investigación para estudiar las consecuencias (con resultados fácilmente predecibles dentro de unos años, ya que sólo serán ignorados por los legisladores anticientíficos), y estableciendo soluciones alternativas (ej., el aborto de emergencia, barcos de alta mar, un moderno "ferrocarril sobre tierra", etc.) para proporcionar el aborto a quienes lo necesiten y/o deseen.</w:t>
      </w:r>
      <w:hyperlink w:anchor="ftnt1" w:history="1">
        <w:r>
          <w:rPr>
            <w:rStyle w:val="Hipervnculo"/>
            <w:sz w:val="22"/>
            <w:szCs w:val="22"/>
            <w:u w:val="none"/>
            <w:vertAlign w:val="superscript"/>
          </w:rPr>
          <w:t>1</w:t>
        </w:r>
      </w:hyperlink>
      <w:r>
        <w:rPr>
          <w:rStyle w:val="c81"/>
        </w:rPr>
        <w:t>,</w:t>
      </w:r>
      <w:hyperlink w:anchor="ftnt2" w:history="1">
        <w:r>
          <w:rPr>
            <w:rStyle w:val="Hipervnculo"/>
            <w:sz w:val="22"/>
            <w:szCs w:val="22"/>
            <w:u w:val="none"/>
            <w:vertAlign w:val="superscript"/>
          </w:rPr>
          <w:t>2</w:t>
        </w:r>
      </w:hyperlink>
    </w:p>
    <w:p w14:paraId="41C7C247" w14:textId="77777777" w:rsidR="00A6157C" w:rsidRDefault="00A6157C">
      <w:pPr>
        <w:pStyle w:val="c2"/>
        <w:spacing w:before="0" w:beforeAutospacing="0" w:after="0" w:afterAutospacing="0"/>
        <w:jc w:val="both"/>
        <w:rPr>
          <w:sz w:val="22"/>
          <w:szCs w:val="22"/>
        </w:rPr>
      </w:pPr>
    </w:p>
    <w:p w14:paraId="27750259" w14:textId="231E5931" w:rsidR="00A6157C" w:rsidRDefault="00E17513">
      <w:pPr>
        <w:pStyle w:val="c2"/>
        <w:spacing w:before="0" w:beforeAutospacing="0" w:after="0" w:afterAutospacing="0"/>
        <w:jc w:val="both"/>
        <w:rPr>
          <w:rStyle w:val="c19"/>
        </w:rPr>
      </w:pPr>
      <w:r>
        <w:rPr>
          <w:rStyle w:val="c19"/>
        </w:rPr>
        <w:t xml:space="preserve">Si bien estos esfuerzos son admirables y de vital importancia para preservar el acceso al aborto para algunas, no serán suficientes para evitar el aumento masivo de la morbilidad, la mortandad, la pobreza y el encarcelamiento, especialmente entre jóvenes mujeres de color y/o de bajo nivel </w:t>
      </w:r>
      <w:r>
        <w:rPr>
          <w:rStyle w:val="c19"/>
        </w:rPr>
        <w:lastRenderedPageBreak/>
        <w:t>socioeconómico.</w:t>
      </w:r>
      <w:hyperlink w:anchor="ftnt3" w:history="1">
        <w:r>
          <w:rPr>
            <w:rStyle w:val="Hipervnculo"/>
            <w:sz w:val="22"/>
            <w:szCs w:val="22"/>
            <w:u w:val="none"/>
            <w:vertAlign w:val="superscript"/>
          </w:rPr>
          <w:t>3</w:t>
        </w:r>
      </w:hyperlink>
      <w:r>
        <w:rPr>
          <w:sz w:val="22"/>
          <w:szCs w:val="22"/>
          <w:vertAlign w:val="superscript"/>
        </w:rPr>
        <w:t xml:space="preserve"> </w:t>
      </w:r>
      <w:r>
        <w:rPr>
          <w:rStyle w:val="c19"/>
        </w:rPr>
        <w:t>De hecho, la historia de las actitudes hacia el aborto demuestra que la oposición a la opción reproductiva no tiene sus raíces en la preocupación por los niños, sino, más bien, en el paternalismo, el nacionalismo y el racismo.</w:t>
      </w:r>
    </w:p>
    <w:p w14:paraId="4EE7E107" w14:textId="77777777" w:rsidR="00A6157C" w:rsidRDefault="00A6157C">
      <w:pPr>
        <w:pStyle w:val="c2"/>
        <w:spacing w:before="0" w:beforeAutospacing="0" w:after="0" w:afterAutospacing="0"/>
        <w:jc w:val="both"/>
      </w:pPr>
    </w:p>
    <w:p w14:paraId="30B0BB6F" w14:textId="77777777" w:rsidR="00A6157C" w:rsidRDefault="00E17513">
      <w:pPr>
        <w:pStyle w:val="c2"/>
        <w:spacing w:before="0" w:beforeAutospacing="0" w:after="0" w:afterAutospacing="0"/>
        <w:jc w:val="both"/>
        <w:rPr>
          <w:sz w:val="22"/>
          <w:szCs w:val="22"/>
          <w:vertAlign w:val="superscript"/>
        </w:rPr>
      </w:pPr>
      <w:r>
        <w:rPr>
          <w:rStyle w:val="c19"/>
        </w:rPr>
        <w:t>Por otra parte, es poco probable que estos esfuerzos eviten más daño a la reputación de nuestra profesión, cuya influencia se ha erosionado significativamente a través del desmantelamiento de simples medidas de salud pública para combatir la pandemia de coronavirus bajo la presidencia de Trump</w:t>
      </w:r>
      <w:hyperlink w:anchor="ftnt4" w:history="1">
        <w:r>
          <w:rPr>
            <w:rStyle w:val="Hipervnculo"/>
            <w:sz w:val="22"/>
            <w:szCs w:val="22"/>
            <w:u w:val="none"/>
            <w:vertAlign w:val="superscript"/>
          </w:rPr>
          <w:t>4</w:t>
        </w:r>
      </w:hyperlink>
      <w:r>
        <w:rPr>
          <w:rStyle w:val="c19"/>
        </w:rPr>
        <w:t xml:space="preserve"> y actualmente mediante los esfuerzos de actores estatales y grupos libertarios y religiosos bien financiados, entre otros, para limitar los mínimos de vacunación e impedir que los educadores enseñen sobre el racismo o la mera existencia de individuos LGBTQ+. </w:t>
      </w:r>
      <w:hyperlink w:anchor="ftnt5" w:history="1">
        <w:r>
          <w:rPr>
            <w:rStyle w:val="Hipervnculo"/>
            <w:sz w:val="22"/>
            <w:szCs w:val="22"/>
            <w:u w:val="none"/>
            <w:vertAlign w:val="superscript"/>
          </w:rPr>
          <w:t>5</w:t>
        </w:r>
      </w:hyperlink>
    </w:p>
    <w:p w14:paraId="07136EC3" w14:textId="77777777" w:rsidR="00A6157C" w:rsidRDefault="00A6157C">
      <w:pPr>
        <w:pStyle w:val="c2"/>
        <w:spacing w:before="0" w:beforeAutospacing="0" w:after="0" w:afterAutospacing="0"/>
        <w:jc w:val="both"/>
        <w:rPr>
          <w:sz w:val="22"/>
          <w:szCs w:val="22"/>
        </w:rPr>
      </w:pPr>
    </w:p>
    <w:p w14:paraId="0F8CF5BA" w14:textId="5E5062AC" w:rsidR="00A6157C" w:rsidRDefault="00BC55D8">
      <w:pPr>
        <w:pStyle w:val="c2"/>
        <w:spacing w:before="0" w:beforeAutospacing="0" w:after="0" w:afterAutospacing="0"/>
        <w:jc w:val="both"/>
        <w:rPr>
          <w:rStyle w:val="c19"/>
        </w:rPr>
      </w:pPr>
      <w:r>
        <w:rPr>
          <w:noProof/>
        </w:rPr>
        <mc:AlternateContent>
          <mc:Choice Requires="wps">
            <w:drawing>
              <wp:anchor distT="0" distB="0" distL="114300" distR="114300" simplePos="0" relativeHeight="251659264" behindDoc="0" locked="0" layoutInCell="1" allowOverlap="1" wp14:anchorId="7DC92098" wp14:editId="31364020">
                <wp:simplePos x="0" y="0"/>
                <wp:positionH relativeFrom="column">
                  <wp:posOffset>-3211195</wp:posOffset>
                </wp:positionH>
                <wp:positionV relativeFrom="paragraph">
                  <wp:posOffset>2600960</wp:posOffset>
                </wp:positionV>
                <wp:extent cx="3056255" cy="181673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816735"/>
                        </a:xfrm>
                        <a:prstGeom prst="rect">
                          <a:avLst/>
                        </a:prstGeom>
                        <a:solidFill>
                          <a:schemeClr val="lt1"/>
                        </a:solidFill>
                        <a:ln w="6350">
                          <a:noFill/>
                        </a:ln>
                      </wps:spPr>
                      <wps:txbx>
                        <w:txbxContent>
                          <w:p w14:paraId="18AD916F" w14:textId="77777777" w:rsidR="00A6157C" w:rsidRDefault="00E17513">
                            <w:pPr>
                              <w:pBdr>
                                <w:top w:val="single" w:sz="12" w:space="1" w:color="auto"/>
                              </w:pBdr>
                              <w:rPr>
                                <w:sz w:val="20"/>
                              </w:rPr>
                            </w:pPr>
                            <w:r>
                              <w:rPr>
                                <w:b/>
                                <w:sz w:val="20"/>
                              </w:rPr>
                              <w:t>Martin Donohoe MD FACP</w:t>
                            </w:r>
                            <w:r>
                              <w:rPr>
                                <w:sz w:val="20"/>
                              </w:rPr>
                              <w:t xml:space="preserve">, Sitio web de salud pública y justicia social: </w:t>
                            </w:r>
                            <w:hyperlink r:id="rId9" w:history="1">
                              <w:r>
                                <w:rPr>
                                  <w:rStyle w:val="Hipervnculo"/>
                                  <w:sz w:val="18"/>
                                  <w:u w:val="none"/>
                                </w:rPr>
                                <w:t>http://www.publichealthandsocialjustice.org</w:t>
                              </w:r>
                            </w:hyperlink>
                            <w:r>
                              <w:rPr>
                                <w:sz w:val="18"/>
                              </w:rPr>
                              <w:t xml:space="preserve"> o </w:t>
                            </w:r>
                            <w:hyperlink r:id="rId10" w:history="1">
                              <w:r>
                                <w:rPr>
                                  <w:rStyle w:val="Hipervnculo"/>
                                  <w:sz w:val="18"/>
                                  <w:u w:val="none"/>
                                </w:rPr>
                                <w:t>http://www.phsj.org</w:t>
                              </w:r>
                            </w:hyperlink>
                            <w:r>
                              <w:rPr>
                                <w:sz w:val="18"/>
                              </w:rPr>
                              <w:t xml:space="preserve"> </w:t>
                            </w:r>
                          </w:p>
                          <w:p w14:paraId="55B11216" w14:textId="77777777" w:rsidR="00A6157C" w:rsidRDefault="00E17513">
                            <w:pPr>
                              <w:rPr>
                                <w:sz w:val="20"/>
                              </w:rPr>
                            </w:pPr>
                            <w:r>
                              <w:rPr>
                                <w:sz w:val="20"/>
                              </w:rPr>
                              <w:t>Prescripción para Justice Television/Podcast:</w:t>
                            </w:r>
                          </w:p>
                          <w:p w14:paraId="050FA9C4" w14:textId="77777777" w:rsidR="00A6157C" w:rsidRDefault="00760C53">
                            <w:pPr>
                              <w:rPr>
                                <w:sz w:val="18"/>
                              </w:rPr>
                            </w:pPr>
                            <w:hyperlink r:id="rId11" w:history="1">
                              <w:r w:rsidR="00E17513">
                                <w:rPr>
                                  <w:rStyle w:val="Hipervnculo"/>
                                  <w:sz w:val="18"/>
                                  <w:u w:val="none"/>
                                </w:rPr>
                                <w:t>https://www.youtube.com/channel/UCJt34I9c5vT2RpZtkg6Im2A/videos</w:t>
                              </w:r>
                            </w:hyperlink>
                            <w:r w:rsidR="00E17513">
                              <w:rPr>
                                <w:sz w:val="18"/>
                              </w:rPr>
                              <w:t xml:space="preserve"> </w:t>
                            </w:r>
                          </w:p>
                          <w:p w14:paraId="44F07A87" w14:textId="77777777" w:rsidR="00A6157C" w:rsidRDefault="00760C53">
                            <w:pPr>
                              <w:rPr>
                                <w:sz w:val="20"/>
                              </w:rPr>
                            </w:pPr>
                            <w:hyperlink r:id="rId12" w:history="1">
                              <w:r w:rsidR="00E17513">
                                <w:rPr>
                                  <w:rStyle w:val="Hipervnculo"/>
                                  <w:sz w:val="20"/>
                                  <w:u w:val="none"/>
                                </w:rPr>
                                <w:t>https://www.kboo.fm/program/prescription-justice</w:t>
                              </w:r>
                            </w:hyperlink>
                            <w:r w:rsidR="00E17513">
                              <w:rPr>
                                <w:sz w:val="20"/>
                              </w:rPr>
                              <w:t xml:space="preserve"> </w:t>
                            </w:r>
                          </w:p>
                          <w:p w14:paraId="58995AF8" w14:textId="77777777" w:rsidR="00A6157C" w:rsidRDefault="00E17513">
                            <w:pPr>
                              <w:rPr>
                                <w:sz w:val="20"/>
                              </w:rPr>
                            </w:pPr>
                            <w:r>
                              <w:rPr>
                                <w:sz w:val="20"/>
                              </w:rPr>
                              <w:t xml:space="preserve">Lector de salud pública y justicia social (Jossey Bass/Wiley, 2013): </w:t>
                            </w:r>
                            <w:hyperlink r:id="rId13" w:history="1">
                              <w:r>
                                <w:rPr>
                                  <w:rStyle w:val="Hipervnculo"/>
                                  <w:sz w:val="18"/>
                                  <w:u w:val="none"/>
                                </w:rPr>
                                <w:t>https://phsj.org/public-health-and-social-justice-reader/</w:t>
                              </w:r>
                            </w:hyperlink>
                            <w:r>
                              <w:rPr>
                                <w:sz w:val="18"/>
                              </w:rPr>
                              <w:t xml:space="preserve"> </w:t>
                            </w:r>
                          </w:p>
                          <w:p w14:paraId="0E43B257" w14:textId="77777777" w:rsidR="00A6157C" w:rsidRDefault="00E17513">
                            <w:pPr>
                              <w:rPr>
                                <w:sz w:val="20"/>
                              </w:rPr>
                            </w:pPr>
                            <w:r>
                              <w:rPr>
                                <w:sz w:val="20"/>
                              </w:rPr>
                              <w:t xml:space="preserve">Correo-e: </w:t>
                            </w:r>
                            <w:hyperlink r:id="rId14" w:history="1">
                              <w:r>
                                <w:rPr>
                                  <w:rStyle w:val="Hipervnculo"/>
                                  <w:sz w:val="20"/>
                                  <w:u w:val="none"/>
                                </w:rPr>
                                <w:t>marndonohoe@phsj.org</w:t>
                              </w:r>
                            </w:hyperlink>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52.85pt;margin-top:204.8pt;width:240.6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" fillcolor="white [3201]" stroked="f" strokeweight=".5pt">
                <v:path arrowok="t"/>
                <v:textbox>
                  <w:txbxContent>
                    <w:p w14:paraId="18AD916F" w14:textId="77777777" w:rsidR="00A6157C" w:rsidRDefault="00E17513">
                      <w:pPr>
                        <w:pBdr>
                          <w:top w:val="single" w:sz="12" w:space="1" w:color="auto"/>
                        </w:pBdr>
                        <w:rPr>
                          <w:sz w:val="20"/>
                        </w:rPr>
                      </w:pPr>
                      <w:r>
                        <w:rPr>
                          <w:b/>
                          <w:sz w:val="20"/>
                        </w:rPr>
                        <w:t>Martin Donohoe MD FACP</w:t>
                      </w:r>
                      <w:r>
                        <w:rPr>
                          <w:sz w:val="20"/>
                        </w:rPr>
                        <w:t xml:space="preserve">, Sitio web de salud pública y justicia social: </w:t>
                      </w:r>
                      <w:hyperlink r:id="rId15" w:history="1">
                        <w:r>
                          <w:rPr>
                            <w:rStyle w:val="Hipervnculo"/>
                            <w:sz w:val="18"/>
                            <w:u w:val="none"/>
                          </w:rPr>
                          <w:t>http://www.publichealthandsocialjustice.org</w:t>
                        </w:r>
                      </w:hyperlink>
                      <w:r>
                        <w:rPr>
                          <w:sz w:val="18"/>
                        </w:rPr>
                        <w:t xml:space="preserve"> o </w:t>
                      </w:r>
                      <w:hyperlink r:id="rId16" w:history="1">
                        <w:r>
                          <w:rPr>
                            <w:rStyle w:val="Hipervnculo"/>
                            <w:sz w:val="18"/>
                            <w:u w:val="none"/>
                          </w:rPr>
                          <w:t>http://www.phsj.org</w:t>
                        </w:r>
                      </w:hyperlink>
                      <w:r>
                        <w:rPr>
                          <w:sz w:val="18"/>
                        </w:rPr>
                        <w:t xml:space="preserve"> </w:t>
                      </w:r>
                    </w:p>
                    <w:p w14:paraId="55B11216" w14:textId="77777777" w:rsidR="00A6157C" w:rsidRDefault="00E17513">
                      <w:pPr>
                        <w:rPr>
                          <w:sz w:val="20"/>
                        </w:rPr>
                      </w:pPr>
                      <w:r>
                        <w:rPr>
                          <w:sz w:val="20"/>
                        </w:rPr>
                        <w:t>Prescripción para Justice Television/Podcast:</w:t>
                      </w:r>
                    </w:p>
                    <w:p w14:paraId="050FA9C4" w14:textId="77777777" w:rsidR="00A6157C" w:rsidRDefault="00760C53">
                      <w:pPr>
                        <w:rPr>
                          <w:sz w:val="18"/>
                        </w:rPr>
                      </w:pPr>
                      <w:hyperlink r:id="rId17" w:history="1">
                        <w:r w:rsidR="00E17513">
                          <w:rPr>
                            <w:rStyle w:val="Hipervnculo"/>
                            <w:sz w:val="18"/>
                            <w:u w:val="none"/>
                          </w:rPr>
                          <w:t>https://www.youtube.com/channel/UCJt34I9c5vT2RpZtkg6Im2A/videos</w:t>
                        </w:r>
                      </w:hyperlink>
                      <w:r w:rsidR="00E17513">
                        <w:rPr>
                          <w:sz w:val="18"/>
                        </w:rPr>
                        <w:t xml:space="preserve"> </w:t>
                      </w:r>
                    </w:p>
                    <w:p w14:paraId="44F07A87" w14:textId="77777777" w:rsidR="00A6157C" w:rsidRDefault="00760C53">
                      <w:pPr>
                        <w:rPr>
                          <w:sz w:val="20"/>
                        </w:rPr>
                      </w:pPr>
                      <w:hyperlink r:id="rId18" w:history="1">
                        <w:r w:rsidR="00E17513">
                          <w:rPr>
                            <w:rStyle w:val="Hipervnculo"/>
                            <w:sz w:val="20"/>
                            <w:u w:val="none"/>
                          </w:rPr>
                          <w:t>https://www.kboo.fm/program/prescription-justice</w:t>
                        </w:r>
                      </w:hyperlink>
                      <w:r w:rsidR="00E17513">
                        <w:rPr>
                          <w:sz w:val="20"/>
                        </w:rPr>
                        <w:t xml:space="preserve"> </w:t>
                      </w:r>
                    </w:p>
                    <w:p w14:paraId="58995AF8" w14:textId="77777777" w:rsidR="00A6157C" w:rsidRDefault="00E17513">
                      <w:pPr>
                        <w:rPr>
                          <w:sz w:val="20"/>
                        </w:rPr>
                      </w:pPr>
                      <w:r>
                        <w:rPr>
                          <w:sz w:val="20"/>
                        </w:rPr>
                        <w:t xml:space="preserve">Lector de salud pública y justicia social (Jossey Bass/Wiley, 2013): </w:t>
                      </w:r>
                      <w:hyperlink r:id="rId19" w:history="1">
                        <w:r>
                          <w:rPr>
                            <w:rStyle w:val="Hipervnculo"/>
                            <w:sz w:val="18"/>
                            <w:u w:val="none"/>
                          </w:rPr>
                          <w:t>https://phsj.org/public-health-and-social-justice-reader/</w:t>
                        </w:r>
                      </w:hyperlink>
                      <w:r>
                        <w:rPr>
                          <w:sz w:val="18"/>
                        </w:rPr>
                        <w:t xml:space="preserve"> </w:t>
                      </w:r>
                    </w:p>
                    <w:p w14:paraId="0E43B257" w14:textId="77777777" w:rsidR="00A6157C" w:rsidRDefault="00E17513">
                      <w:pPr>
                        <w:rPr>
                          <w:sz w:val="20"/>
                        </w:rPr>
                      </w:pPr>
                      <w:r>
                        <w:rPr>
                          <w:sz w:val="20"/>
                        </w:rPr>
                        <w:t xml:space="preserve">Correo-e: </w:t>
                      </w:r>
                      <w:hyperlink r:id="rId20" w:history="1">
                        <w:r>
                          <w:rPr>
                            <w:rStyle w:val="Hipervnculo"/>
                            <w:sz w:val="20"/>
                            <w:u w:val="none"/>
                          </w:rPr>
                          <w:t>marndonohoe@phsj.org</w:t>
                        </w:r>
                      </w:hyperlink>
                      <w:r>
                        <w:rPr>
                          <w:sz w:val="20"/>
                        </w:rPr>
                        <w:t xml:space="preserve"> </w:t>
                      </w:r>
                    </w:p>
                  </w:txbxContent>
                </v:textbox>
                <w10:wrap type="square"/>
              </v:shape>
            </w:pict>
          </mc:Fallback>
        </mc:AlternateContent>
      </w:r>
      <w:r w:rsidR="00E17513">
        <w:rPr>
          <w:rStyle w:val="c19"/>
        </w:rPr>
        <w:t xml:space="preserve">Como consecuencia de la decisión </w:t>
      </w:r>
      <w:r w:rsidR="00E17513">
        <w:rPr>
          <w:rStyle w:val="c51"/>
        </w:rPr>
        <w:t>Dobbs</w:t>
      </w:r>
      <w:r w:rsidR="00E17513">
        <w:rPr>
          <w:rStyle w:val="c19"/>
        </w:rPr>
        <w:t>, los médicos podrían enfrentarse a una serie de problemas legales relacionados con la atención a pacientes que cruzan las fronteras estatales, con la tele-medicina y la determinación de si (y cuándo) continuar con un embarazo constituye un riesgo para la vida de una mujer.</w:t>
      </w:r>
      <w:hyperlink w:anchor="ftnt6" w:history="1">
        <w:r w:rsidR="00E17513">
          <w:rPr>
            <w:rStyle w:val="Hipervnculo"/>
            <w:sz w:val="22"/>
            <w:szCs w:val="22"/>
            <w:u w:val="none"/>
            <w:vertAlign w:val="superscript"/>
          </w:rPr>
          <w:t>6</w:t>
        </w:r>
      </w:hyperlink>
      <w:r w:rsidR="00E17513">
        <w:rPr>
          <w:rStyle w:val="c19"/>
        </w:rPr>
        <w:t xml:space="preserve"> Se amordazará a los médicos, se les impedirá ofrecer un asesoramiento médico sólido y, en ocasiones, se les obligará a mencionar los "riesgos" del aborto no respaldados por datos científicos sólidos. Todo esto aumentará los costes de la mala praxis, pero lo más importante es que dañará la integridad de nuestra profesión en los EUA y su credibilidad en el extranjero.</w:t>
      </w:r>
    </w:p>
    <w:p w14:paraId="0F342D28" w14:textId="77777777" w:rsidR="00A6157C" w:rsidRDefault="00E17513" w:rsidP="00BC55D8">
      <w:pPr>
        <w:pStyle w:val="c2"/>
        <w:spacing w:before="0" w:beforeAutospacing="0" w:after="0" w:afterAutospacing="0" w:line="22" w:lineRule="atLeast"/>
        <w:jc w:val="both"/>
        <w:rPr>
          <w:sz w:val="22"/>
          <w:szCs w:val="22"/>
          <w:vertAlign w:val="superscript"/>
        </w:rPr>
      </w:pPr>
      <w:r>
        <w:rPr>
          <w:rStyle w:val="c19"/>
        </w:rPr>
        <w:lastRenderedPageBreak/>
        <w:t>Aunque a veces se abusa de las comparaciones con los nazis, y no para minimizar los horrores del Holocausto, sigue siendo digno de mención que los pronunciamientos poco éticos sobre la integridad corporal y la atención al paciente por parte de una autoridad central es la forma en que la medicina nazi se convirtió en un agente inmoral del Estado (de forma similar, la psiquiatría soviética).</w:t>
      </w:r>
      <w:hyperlink w:anchor="ftnt7" w:history="1">
        <w:r>
          <w:rPr>
            <w:rStyle w:val="Hipervnculo"/>
            <w:sz w:val="22"/>
            <w:szCs w:val="22"/>
            <w:u w:val="none"/>
            <w:vertAlign w:val="superscript"/>
          </w:rPr>
          <w:t>7</w:t>
        </w:r>
      </w:hyperlink>
      <w:r>
        <w:rPr>
          <w:rStyle w:val="c19"/>
        </w:rPr>
        <w:t xml:space="preserve"> La historia nos ha demostrado el valor de la resistencia generalizada a las leyes inmorales (por ejemplo, los médicos holandeses durante la Segunda Guerra Mundial, el Movimiento por los Derechos Civiles de Estados Unidos, el desmantelamiento del Apartheid, las ocupaciones del Hospital Lincoln por parte de los </w:t>
      </w:r>
      <w:r>
        <w:rPr>
          <w:rStyle w:val="c51"/>
        </w:rPr>
        <w:t>Young Lords</w:t>
      </w:r>
      <w:hyperlink w:anchor="ftnt8" w:history="1">
        <w:r>
          <w:rPr>
            <w:rStyle w:val="Hipervnculo"/>
            <w:sz w:val="22"/>
            <w:szCs w:val="22"/>
            <w:u w:val="none"/>
            <w:vertAlign w:val="superscript"/>
          </w:rPr>
          <w:t>8</w:t>
        </w:r>
      </w:hyperlink>
      <w:r>
        <w:rPr>
          <w:rStyle w:val="c19"/>
        </w:rPr>
        <w:t xml:space="preserve"> ). Los médicos tenemos el derecho, de hecho, la obligación, de actuar cuando nos enfrentamos a leyes inmorales que afectan a la vida de nuestros pacientes</w:t>
      </w:r>
      <w:hyperlink w:anchor="ftnt9" w:history="1">
        <w:r>
          <w:rPr>
            <w:rStyle w:val="Hipervnculo"/>
            <w:sz w:val="22"/>
            <w:szCs w:val="22"/>
            <w:u w:val="none"/>
            <w:vertAlign w:val="superscript"/>
          </w:rPr>
          <w:t>9</w:t>
        </w:r>
      </w:hyperlink>
      <w:r>
        <w:rPr>
          <w:rStyle w:val="c81"/>
        </w:rPr>
        <w:t>,</w:t>
      </w:r>
      <w:hyperlink w:anchor="ftnt10" w:history="1">
        <w:r>
          <w:rPr>
            <w:rStyle w:val="Hipervnculo"/>
            <w:sz w:val="22"/>
            <w:szCs w:val="22"/>
            <w:u w:val="none"/>
            <w:vertAlign w:val="superscript"/>
          </w:rPr>
          <w:t>10</w:t>
        </w:r>
      </w:hyperlink>
      <w:r>
        <w:rPr>
          <w:rStyle w:val="c81"/>
        </w:rPr>
        <w:t>,</w:t>
      </w:r>
      <w:hyperlink w:anchor="ftnt11" w:history="1">
        <w:r>
          <w:rPr>
            <w:rStyle w:val="Hipervnculo"/>
            <w:sz w:val="22"/>
            <w:szCs w:val="22"/>
            <w:u w:val="none"/>
            <w:vertAlign w:val="superscript"/>
          </w:rPr>
          <w:t>11</w:t>
        </w:r>
      </w:hyperlink>
      <w:r>
        <w:rPr>
          <w:rStyle w:val="c19"/>
        </w:rPr>
        <w:t xml:space="preserve"> y la legislación actual propuesta perjudicará a todas las mujeres (y a sus parejas masculinas).</w:t>
      </w:r>
      <w:hyperlink w:anchor="ftnt12" w:history="1">
        <w:r>
          <w:rPr>
            <w:rStyle w:val="Hipervnculo"/>
            <w:sz w:val="22"/>
            <w:szCs w:val="22"/>
            <w:u w:val="none"/>
            <w:vertAlign w:val="superscript"/>
          </w:rPr>
          <w:t>12</w:t>
        </w:r>
      </w:hyperlink>
    </w:p>
    <w:p w14:paraId="5FB513B2" w14:textId="77777777" w:rsidR="00A6157C" w:rsidRDefault="00A6157C" w:rsidP="00BC55D8">
      <w:pPr>
        <w:pStyle w:val="c2"/>
        <w:spacing w:before="0" w:beforeAutospacing="0" w:after="0" w:afterAutospacing="0" w:line="22" w:lineRule="atLeast"/>
        <w:jc w:val="both"/>
        <w:rPr>
          <w:sz w:val="22"/>
          <w:szCs w:val="22"/>
        </w:rPr>
      </w:pPr>
    </w:p>
    <w:p w14:paraId="40C18E66" w14:textId="77777777" w:rsidR="00A6157C" w:rsidRDefault="00E17513" w:rsidP="00BC55D8">
      <w:pPr>
        <w:pStyle w:val="c2"/>
        <w:spacing w:before="0" w:beforeAutospacing="0" w:after="0" w:afterAutospacing="0" w:line="22" w:lineRule="atLeast"/>
        <w:jc w:val="both"/>
        <w:rPr>
          <w:rStyle w:val="c19"/>
        </w:rPr>
      </w:pPr>
      <w:r>
        <w:rPr>
          <w:rStyle w:val="c19"/>
        </w:rPr>
        <w:t>Debido al apoyo generalizado a la atención completa en salud reproductiva desde los centros médicos académicos, porque los respetados líderes de estas instituciones promulgan directrices de tratamiento y, lo que es más importante, porque son responsables de formar a la próxima generación de médicos para que practiquen una medicina basada en la ciencia y en la ética, orientada al sostén de los derechos humanos, al respeto a la inviolabilidad de la relación médico-paciente y a la integridad corporal, consideremos la siguiente propuesta: todos los centros médicos académicos de EUA deberían comprometerse a seguir prestando una atención en salud reproductiva completa, aborto incluido, independientemente de las leyes estatales. Tal compromiso, apoyado por decanos y jefes de departamento, podría facilitarse en el plazo de una semana, dados los amplios vínculos formales (por ejemplo, la Asociación Americana de Facultades de Medicina -</w:t>
      </w:r>
      <w:r>
        <w:rPr>
          <w:rStyle w:val="c51"/>
        </w:rPr>
        <w:t>Association of American Medical Colleges</w:t>
      </w:r>
      <w:r>
        <w:rPr>
          <w:rStyle w:val="c19"/>
        </w:rPr>
        <w:t>-, la Organización de Asociaciones de Directores de Programas -</w:t>
      </w:r>
      <w:r>
        <w:rPr>
          <w:rStyle w:val="c51"/>
        </w:rPr>
        <w:t>Organization of Program Directors Associations</w:t>
      </w:r>
      <w:r>
        <w:rPr>
          <w:rStyle w:val="c19"/>
        </w:rPr>
        <w:t>-, la Junta Americana de Especialidad Médicas -</w:t>
      </w:r>
      <w:r>
        <w:rPr>
          <w:rStyle w:val="c51"/>
        </w:rPr>
        <w:t>American Board of Medical Specialties</w:t>
      </w:r>
      <w:r>
        <w:rPr>
          <w:rStyle w:val="c19"/>
        </w:rPr>
        <w:t xml:space="preserve">) e informales entre líderes institucionales. Además, las sociedades profesionales de la salud deberían comprometerse a evitar reuniones nacionales y exámenes de la junta de cualquier estado que ilegalice el aborto. </w:t>
      </w:r>
    </w:p>
    <w:p w14:paraId="5C80A6C2" w14:textId="77777777" w:rsidR="00A6157C" w:rsidRDefault="00A6157C" w:rsidP="00BC55D8">
      <w:pPr>
        <w:pStyle w:val="c2"/>
        <w:spacing w:before="0" w:beforeAutospacing="0" w:after="0" w:afterAutospacing="0" w:line="22" w:lineRule="atLeast"/>
        <w:jc w:val="both"/>
      </w:pPr>
    </w:p>
    <w:p w14:paraId="4E8A5A29" w14:textId="61B2EB99" w:rsidR="00A6157C" w:rsidRDefault="00E17513" w:rsidP="00BC55D8">
      <w:pPr>
        <w:pStyle w:val="c2"/>
        <w:spacing w:before="0" w:beforeAutospacing="0" w:after="0" w:afterAutospacing="0" w:line="22" w:lineRule="atLeast"/>
        <w:jc w:val="both"/>
        <w:rPr>
          <w:rStyle w:val="c19"/>
        </w:rPr>
      </w:pPr>
      <w:r>
        <w:rPr>
          <w:rStyle w:val="c19"/>
        </w:rPr>
        <w:t>Los grupos organizados (por ejemplo, la Federación Americana de Paternidad Planeada -</w:t>
      </w:r>
      <w:r>
        <w:rPr>
          <w:rStyle w:val="c51"/>
        </w:rPr>
        <w:t xml:space="preserve">Planned Parenthood </w:t>
      </w:r>
      <w:r>
        <w:rPr>
          <w:rStyle w:val="c141"/>
        </w:rPr>
        <w:t>Federation of America</w:t>
      </w:r>
      <w:r>
        <w:rPr>
          <w:rStyle w:val="c19"/>
        </w:rPr>
        <w:t xml:space="preserve"> - NARAL) y ciudadanos particulares deberían organizar rápidamente actos de protesta en las próximas dos semanas en los que cualquier mujer que haya abortado alguna vez (1/4 de mujeres antes de los 40 años), sus parejas (1/5 de hombres han dejado embarazada a una mujer que ha abortado),</w:t>
      </w:r>
      <w:r w:rsidR="002A2ED7">
        <w:rPr>
          <w:rStyle w:val="c81"/>
        </w:rPr>
        <w:t>7</w:t>
      </w:r>
      <w:r>
        <w:rPr>
          <w:rStyle w:val="c19"/>
        </w:rPr>
        <w:t xml:space="preserve"> y quienes hayan recurrido a la reproducción asistida, marchen </w:t>
      </w:r>
      <w:r>
        <w:rPr>
          <w:rStyle w:val="c51"/>
        </w:rPr>
        <w:t xml:space="preserve">en masa </w:t>
      </w:r>
      <w:r>
        <w:rPr>
          <w:rStyle w:val="c19"/>
        </w:rPr>
        <w:t>a las comisarías de policía y exijan ser encarcelados por sus "crímenes".</w:t>
      </w:r>
    </w:p>
    <w:p w14:paraId="2CB1B023" w14:textId="77777777" w:rsidR="00A6157C" w:rsidRDefault="00A6157C" w:rsidP="00BC55D8">
      <w:pPr>
        <w:pStyle w:val="c2"/>
        <w:spacing w:before="0" w:beforeAutospacing="0" w:after="0" w:afterAutospacing="0" w:line="22" w:lineRule="atLeast"/>
        <w:jc w:val="both"/>
      </w:pPr>
    </w:p>
    <w:p w14:paraId="37BEEF01" w14:textId="77777777" w:rsidR="00A6157C" w:rsidRDefault="00E17513" w:rsidP="00BC55D8">
      <w:pPr>
        <w:pStyle w:val="c2"/>
        <w:spacing w:before="0" w:beforeAutospacing="0" w:after="0" w:afterAutospacing="0" w:line="22" w:lineRule="atLeast"/>
        <w:jc w:val="both"/>
        <w:rPr>
          <w:rStyle w:val="c19"/>
        </w:rPr>
      </w:pPr>
      <w:r>
        <w:rPr>
          <w:rStyle w:val="c19"/>
        </w:rPr>
        <w:t>El sistema de justicia penal no puede encarcelar y procesar a tantos ginecólogos obstetras, médicos familiares y médicos de nivel medio, sin que se produzca una escasez inmediata e insostenible de proveedores de atención médica necesarios para proporcionar atención prenatal, atender partos, diagnosticar y tratar enfermedades de transmisión sexual, neoplasias ginecológicas y todos los servicios requeridos por conservadores y liberales por igual. Con un esfuerzo bien organizado, especialmente si se encarcelara a un gran número de proveedores y ciudadanos, la economía se paralizaría de inmediato, algo que los votantes y las empresas que respaldan a nuestros representantes no tolerarían. En cuestión de días, el Congreso aprobaría casi con toda seguridad protecciones contra el aborto, como la Ley de Protección de la Salud de la Mujer;</w:t>
      </w:r>
      <w:hyperlink w:anchor="ftnt13" w:history="1">
        <w:r>
          <w:rPr>
            <w:rStyle w:val="Hipervnculo"/>
            <w:sz w:val="22"/>
            <w:szCs w:val="22"/>
            <w:u w:val="none"/>
            <w:vertAlign w:val="superscript"/>
          </w:rPr>
          <w:t>13</w:t>
        </w:r>
      </w:hyperlink>
      <w:r>
        <w:rPr>
          <w:rStyle w:val="c19"/>
        </w:rPr>
        <w:t xml:space="preserve"> a pesar de todo, </w:t>
      </w:r>
      <w:r>
        <w:rPr>
          <w:rStyle w:val="c51"/>
        </w:rPr>
        <w:t xml:space="preserve">Roe contra Wade </w:t>
      </w:r>
      <w:r>
        <w:rPr>
          <w:rStyle w:val="c19"/>
        </w:rPr>
        <w:t>se convertiría</w:t>
      </w:r>
      <w:r>
        <w:rPr>
          <w:rStyle w:val="c51"/>
        </w:rPr>
        <w:t>, de facto</w:t>
      </w:r>
      <w:r>
        <w:rPr>
          <w:rStyle w:val="c19"/>
        </w:rPr>
        <w:t xml:space="preserve">, en ley nacional. </w:t>
      </w:r>
    </w:p>
    <w:p w14:paraId="32E3CD5C" w14:textId="77777777" w:rsidR="00A6157C" w:rsidRDefault="00A6157C" w:rsidP="00BC55D8">
      <w:pPr>
        <w:pStyle w:val="c2"/>
        <w:spacing w:before="0" w:beforeAutospacing="0" w:after="0" w:afterAutospacing="0" w:line="22" w:lineRule="atLeast"/>
        <w:jc w:val="both"/>
      </w:pPr>
    </w:p>
    <w:p w14:paraId="684A0DA6" w14:textId="77777777" w:rsidR="00A6157C" w:rsidRDefault="00E17513" w:rsidP="00BC55D8">
      <w:pPr>
        <w:pStyle w:val="c2"/>
        <w:spacing w:before="0" w:beforeAutospacing="0" w:after="0" w:afterAutospacing="0" w:line="22" w:lineRule="atLeast"/>
        <w:jc w:val="both"/>
        <w:rPr>
          <w:rStyle w:val="c19"/>
        </w:rPr>
      </w:pPr>
      <w:r>
        <w:rPr>
          <w:rStyle w:val="c19"/>
        </w:rPr>
        <w:t xml:space="preserve">Otros pueden contribuir a este esfuerzo, por ejemplo, los fiscales de distrito que se comprometan a no perseguir "delitos" de aborto. Las empresas deberían, al tiempo que minimizan el daño a las trabajadoras locales, evitar las juntas de accionistas en los estados donde el aborto está prohibido y comprometerse a proporcionar atención sanitaria reproductiva completa a todas sus empleadas cubiertas. </w:t>
      </w:r>
    </w:p>
    <w:p w14:paraId="7BFA813A" w14:textId="77777777" w:rsidR="00A6157C" w:rsidRDefault="00A6157C" w:rsidP="00BC55D8">
      <w:pPr>
        <w:pStyle w:val="c2"/>
        <w:spacing w:before="0" w:beforeAutospacing="0" w:after="0" w:afterAutospacing="0" w:line="22" w:lineRule="atLeast"/>
        <w:jc w:val="both"/>
      </w:pPr>
    </w:p>
    <w:p w14:paraId="543C8BCD" w14:textId="4A605638" w:rsidR="00A6157C" w:rsidRDefault="00E17513" w:rsidP="00BC55D8">
      <w:pPr>
        <w:pStyle w:val="c2"/>
        <w:spacing w:before="0" w:beforeAutospacing="0" w:after="0" w:afterAutospacing="0" w:line="22" w:lineRule="atLeast"/>
        <w:jc w:val="both"/>
        <w:rPr>
          <w:rStyle w:val="c19"/>
        </w:rPr>
      </w:pPr>
      <w:r>
        <w:rPr>
          <w:rStyle w:val="c19"/>
        </w:rPr>
        <w:t>Es cierto que hay situaciones igualmente desastrosas que afectan a la salud humana y que requieren desobediencia civil (por ejemplo, el calentamiento global,</w:t>
      </w:r>
      <w:hyperlink w:anchor="ftnt14" w:history="1">
        <w:r>
          <w:rPr>
            <w:rStyle w:val="Hipervnculo"/>
            <w:sz w:val="22"/>
            <w:szCs w:val="22"/>
            <w:u w:val="none"/>
            <w:vertAlign w:val="superscript"/>
          </w:rPr>
          <w:t>14</w:t>
        </w:r>
      </w:hyperlink>
      <w:r>
        <w:rPr>
          <w:rStyle w:val="c19"/>
        </w:rPr>
        <w:t xml:space="preserve"> las armas nucleares</w:t>
      </w:r>
      <w:hyperlink w:anchor="ftnt15" w:history="1">
        <w:r>
          <w:rPr>
            <w:rStyle w:val="Hipervnculo"/>
            <w:sz w:val="22"/>
            <w:szCs w:val="22"/>
            <w:u w:val="none"/>
            <w:vertAlign w:val="superscript"/>
          </w:rPr>
          <w:t>15</w:t>
        </w:r>
      </w:hyperlink>
      <w:r>
        <w:rPr>
          <w:rStyle w:val="c19"/>
        </w:rPr>
        <w:t>), pero en estos ámbitos, aunque la medicina académica debería desempeñar un papel de liderazgo, se necesitarían coaliciones más amplias en las que participaran múltiples partes interesadas y más tiempo para lograr un cambio significativo y duradero.</w:t>
      </w:r>
    </w:p>
    <w:p w14:paraId="6CD87417" w14:textId="77777777" w:rsidR="00C17636" w:rsidRDefault="00C17636" w:rsidP="00BC55D8">
      <w:pPr>
        <w:pStyle w:val="c2"/>
        <w:spacing w:before="0" w:beforeAutospacing="0" w:after="0" w:afterAutospacing="0" w:line="22" w:lineRule="atLeast"/>
        <w:jc w:val="both"/>
        <w:rPr>
          <w:rStyle w:val="c19"/>
        </w:rPr>
      </w:pPr>
    </w:p>
    <w:p w14:paraId="31CC0985" w14:textId="77777777" w:rsidR="00A6157C" w:rsidRDefault="00E17513" w:rsidP="00BC55D8">
      <w:pPr>
        <w:pStyle w:val="c2"/>
        <w:spacing w:before="0" w:beforeAutospacing="0" w:after="0" w:afterAutospacing="0" w:line="22" w:lineRule="atLeast"/>
        <w:jc w:val="both"/>
        <w:rPr>
          <w:rStyle w:val="c19"/>
        </w:rPr>
      </w:pPr>
      <w:r>
        <w:rPr>
          <w:rStyle w:val="c19"/>
        </w:rPr>
        <w:t>Con respecto a la crisis sobre el aborto, si sólo unos pocos proveedores e instituciones siguen actuando de forma poco sistemática, podrían sufrir importantes consecuencias financieras, legales, personales y emocionales, e independientemente de que el aborto se legalice, o no, finalmente, en poco tiempo habría una escasez de proveedores formados aún mayor que la que existe actualmente.</w:t>
      </w:r>
      <w:hyperlink w:anchor="ftnt16" w:history="1">
        <w:r>
          <w:rPr>
            <w:rStyle w:val="Hipervnculo"/>
            <w:sz w:val="22"/>
            <w:szCs w:val="22"/>
            <w:u w:val="none"/>
            <w:vertAlign w:val="superscript"/>
          </w:rPr>
          <w:t>16</w:t>
        </w:r>
      </w:hyperlink>
      <w:r>
        <w:rPr>
          <w:rStyle w:val="c19"/>
        </w:rPr>
        <w:t xml:space="preserve"> El plan anterior de desobediencia civil inmediata y generalizada por parte de nuestra profesión, no tendrá éxito sin el apoyo vocal, legal y financiero de las instituciones de enseñanza y de las principales organizaciones de nuestra profesión. Los centros médicos académicos, con sus recientes compromisos de incorporar la justicia social en la formación y de combatir el racismo en la atención médica, no deben limitarse a hablar, sino también a actuar, o la situación empeorará mucho más para los proveedores de los servicios de salud, nuestra profesión y, lo que es más importante, para nuestros pacientes.</w:t>
      </w:r>
    </w:p>
    <w:p w14:paraId="7B96092E" w14:textId="77777777" w:rsidR="00A6157C" w:rsidRDefault="00A6157C">
      <w:pPr>
        <w:pStyle w:val="c2"/>
        <w:spacing w:before="0" w:beforeAutospacing="0" w:after="0" w:afterAutospacing="0"/>
        <w:jc w:val="both"/>
      </w:pPr>
    </w:p>
    <w:p w14:paraId="45EB300F" w14:textId="77777777" w:rsidR="00A6157C" w:rsidRDefault="00E17513">
      <w:pPr>
        <w:pStyle w:val="c2"/>
        <w:spacing w:before="0" w:beforeAutospacing="0" w:after="0" w:afterAutospacing="0"/>
        <w:jc w:val="both"/>
        <w:rPr>
          <w:sz w:val="22"/>
          <w:szCs w:val="22"/>
          <w:lang w:val="en-US"/>
        </w:rPr>
      </w:pPr>
      <w:r>
        <w:rPr>
          <w:rStyle w:val="c111"/>
          <w:lang w:val="en-US"/>
        </w:rPr>
        <w:t xml:space="preserve">Referencias </w:t>
      </w:r>
    </w:p>
    <w:p w14:paraId="6A9F7D26" w14:textId="77777777" w:rsidR="00A6157C" w:rsidRDefault="00A6157C">
      <w:pPr>
        <w:spacing w:before="60" w:after="60"/>
        <w:ind w:left="425" w:hanging="425"/>
        <w:jc w:val="both"/>
        <w:rPr>
          <w:rFonts w:eastAsia="Times New Roman"/>
          <w:sz w:val="20"/>
          <w:szCs w:val="20"/>
          <w:lang w:val="en-US"/>
        </w:rPr>
      </w:pPr>
    </w:p>
    <w:p w14:paraId="03910282" w14:textId="77777777" w:rsidR="00A6157C" w:rsidRDefault="00760C53" w:rsidP="00BD4849">
      <w:pPr>
        <w:pStyle w:val="c2"/>
        <w:spacing w:before="80" w:beforeAutospacing="0" w:after="80" w:afterAutospacing="0"/>
        <w:ind w:left="425" w:hanging="425"/>
        <w:jc w:val="both"/>
        <w:divId w:val="1564290681"/>
        <w:rPr>
          <w:sz w:val="20"/>
          <w:szCs w:val="20"/>
        </w:rPr>
      </w:pPr>
      <w:hyperlink w:anchor="ftnt_ref1" w:history="1">
        <w:r w:rsidR="00E17513">
          <w:rPr>
            <w:rStyle w:val="Hipervnculo"/>
            <w:sz w:val="20"/>
            <w:szCs w:val="20"/>
            <w:u w:val="none"/>
            <w:lang w:val="en-US"/>
          </w:rPr>
          <w:t>1</w:t>
        </w:r>
      </w:hyperlink>
      <w:r w:rsidR="00E17513">
        <w:rPr>
          <w:rStyle w:val="c31"/>
          <w:lang w:val="en-US"/>
        </w:rPr>
        <w:t xml:space="preserve"> Grossman G, Perritt J, Grady D. The Impending Crisis of Access to Safe Abortion Care in the US. </w:t>
      </w:r>
      <w:r w:rsidR="00E17513">
        <w:rPr>
          <w:rStyle w:val="c31"/>
        </w:rPr>
        <w:t xml:space="preserve">JAMA Intern Med. 2022;182(8):793-795. Disponible en </w:t>
      </w:r>
      <w:hyperlink r:id="rId21" w:history="1">
        <w:r w:rsidR="00E17513">
          <w:rPr>
            <w:rStyle w:val="Hipervnculo"/>
            <w:sz w:val="20"/>
            <w:szCs w:val="20"/>
            <w:u w:val="none"/>
          </w:rPr>
          <w:t>https://jamanetwork.com/journals/jamainternalmedicine/fullarticle/2793700</w:t>
        </w:r>
      </w:hyperlink>
      <w:r w:rsidR="00E17513">
        <w:rPr>
          <w:rStyle w:val="c31"/>
        </w:rPr>
        <w:t xml:space="preserve">. </w:t>
      </w:r>
    </w:p>
    <w:p w14:paraId="6D19F7AF" w14:textId="77777777" w:rsidR="00A6157C" w:rsidRDefault="00760C53" w:rsidP="00BD4849">
      <w:pPr>
        <w:pStyle w:val="c2"/>
        <w:spacing w:before="80" w:beforeAutospacing="0" w:after="80" w:afterAutospacing="0"/>
        <w:ind w:left="425" w:hanging="425"/>
        <w:jc w:val="both"/>
        <w:divId w:val="1581207690"/>
        <w:rPr>
          <w:sz w:val="20"/>
          <w:szCs w:val="20"/>
        </w:rPr>
      </w:pPr>
      <w:hyperlink w:anchor="ftnt_ref2" w:history="1">
        <w:r w:rsidR="00E17513">
          <w:rPr>
            <w:rStyle w:val="Hipervnculo"/>
            <w:sz w:val="20"/>
            <w:szCs w:val="20"/>
            <w:u w:val="none"/>
          </w:rPr>
          <w:t>2</w:t>
        </w:r>
      </w:hyperlink>
      <w:r w:rsidR="00E17513">
        <w:rPr>
          <w:rStyle w:val="c31"/>
        </w:rPr>
        <w:t xml:space="preserve"> Comunicado de prensa, Colegio Americano de Obstetricia y Ginecología, 7 de julio de 2022.  Más de 75 organizaciones sanitarias publican una declaración conjunta en oposición a la interferencia legislativa. Disponible en </w:t>
      </w:r>
      <w:hyperlink r:id="rId22" w:history="1">
        <w:r w:rsidR="00E17513">
          <w:rPr>
            <w:rStyle w:val="Hipervnculo"/>
            <w:sz w:val="20"/>
            <w:szCs w:val="20"/>
            <w:u w:val="none"/>
          </w:rPr>
          <w:t>https://www.acog.org/news/news-releases/2022/07/more-than-75-health-care-organizations-release-joint-statement-in-opposition-to-legislative-interference</w:t>
        </w:r>
      </w:hyperlink>
      <w:r w:rsidR="00E17513">
        <w:rPr>
          <w:rStyle w:val="c31"/>
        </w:rPr>
        <w:t xml:space="preserve">. </w:t>
      </w:r>
    </w:p>
    <w:p w14:paraId="183FF933" w14:textId="77777777" w:rsidR="00A6157C" w:rsidRDefault="00760C53" w:rsidP="00BD4849">
      <w:pPr>
        <w:pStyle w:val="c2"/>
        <w:spacing w:before="80" w:beforeAutospacing="0" w:after="80" w:afterAutospacing="0"/>
        <w:ind w:left="425" w:hanging="425"/>
        <w:jc w:val="both"/>
        <w:divId w:val="1754356490"/>
        <w:rPr>
          <w:sz w:val="20"/>
          <w:szCs w:val="20"/>
        </w:rPr>
      </w:pPr>
      <w:hyperlink w:anchor="ftnt_ref3" w:history="1">
        <w:r w:rsidR="00E17513">
          <w:rPr>
            <w:rStyle w:val="Hipervnculo"/>
            <w:sz w:val="20"/>
            <w:szCs w:val="20"/>
            <w:u w:val="none"/>
            <w:lang w:val="en-US"/>
          </w:rPr>
          <w:t>3</w:t>
        </w:r>
      </w:hyperlink>
      <w:r w:rsidR="00E17513">
        <w:rPr>
          <w:rStyle w:val="c31"/>
          <w:lang w:val="en-US"/>
        </w:rPr>
        <w:t xml:space="preserve"> Brief of </w:t>
      </w:r>
      <w:r w:rsidR="00E17513">
        <w:rPr>
          <w:rStyle w:val="c121"/>
          <w:lang w:val="en-US"/>
        </w:rPr>
        <w:t xml:space="preserve">amici curiae </w:t>
      </w:r>
      <w:r w:rsidR="00E17513">
        <w:rPr>
          <w:rStyle w:val="c31"/>
          <w:lang w:val="en-US"/>
        </w:rPr>
        <w:t xml:space="preserve">American College of Obstetricians and Gynecologists, American Medical Association, American Academy of Family Physicians, American Academy of Nursing, American Academy of Pediatrics, American Association of Public Health Physicians, et al. in support of respondents, </w:t>
      </w:r>
      <w:r w:rsidR="00E17513">
        <w:rPr>
          <w:rStyle w:val="c121"/>
          <w:lang w:val="en-US"/>
        </w:rPr>
        <w:t>Dobbs v Jackson Women's Health Association</w:t>
      </w:r>
      <w:r w:rsidR="00E17513">
        <w:rPr>
          <w:rStyle w:val="c31"/>
          <w:lang w:val="en-US"/>
        </w:rPr>
        <w:t xml:space="preserve">. </w:t>
      </w:r>
      <w:r w:rsidR="00E17513">
        <w:rPr>
          <w:rStyle w:val="c31"/>
        </w:rPr>
        <w:t xml:space="preserve">2021 (21 de septiembre). Disponible en </w:t>
      </w:r>
      <w:hyperlink r:id="rId23" w:history="1">
        <w:r w:rsidR="00E17513">
          <w:rPr>
            <w:rStyle w:val="Hipervnculo"/>
            <w:sz w:val="20"/>
            <w:szCs w:val="20"/>
            <w:u w:val="none"/>
          </w:rPr>
          <w:t>https://reproductiverights.org/wp-content/uploads/2021/09/Major-Medical-Groups-Amicus-Brief.pdf</w:t>
        </w:r>
      </w:hyperlink>
      <w:r w:rsidR="00E17513">
        <w:rPr>
          <w:rStyle w:val="c31"/>
        </w:rPr>
        <w:t xml:space="preserve">. </w:t>
      </w:r>
    </w:p>
    <w:p w14:paraId="6947E07B" w14:textId="77777777" w:rsidR="00A6157C" w:rsidRDefault="00760C53" w:rsidP="00BD4849">
      <w:pPr>
        <w:pStyle w:val="c2"/>
        <w:spacing w:before="80" w:beforeAutospacing="0" w:after="80" w:afterAutospacing="0"/>
        <w:ind w:left="425" w:hanging="425"/>
        <w:jc w:val="both"/>
        <w:divId w:val="786047966"/>
        <w:rPr>
          <w:sz w:val="20"/>
          <w:szCs w:val="20"/>
        </w:rPr>
      </w:pPr>
      <w:hyperlink w:anchor="ftnt_ref4" w:history="1">
        <w:r w:rsidR="00E17513">
          <w:rPr>
            <w:rStyle w:val="Hipervnculo"/>
            <w:sz w:val="20"/>
            <w:szCs w:val="20"/>
            <w:u w:val="none"/>
            <w:lang w:val="it-IT"/>
          </w:rPr>
          <w:t>4</w:t>
        </w:r>
      </w:hyperlink>
      <w:r w:rsidR="00E17513">
        <w:rPr>
          <w:rStyle w:val="c31"/>
          <w:lang w:val="it-IT"/>
        </w:rPr>
        <w:t xml:space="preserve"> Donohoe MT. Complicit. Medicina Social 2020;13(1):1-7. </w:t>
      </w:r>
      <w:r w:rsidR="00E17513">
        <w:rPr>
          <w:rStyle w:val="c31"/>
        </w:rPr>
        <w:t xml:space="preserve">Texto completo en pdf disponible en </w:t>
      </w:r>
      <w:hyperlink r:id="rId24" w:history="1">
        <w:r w:rsidR="00E17513">
          <w:rPr>
            <w:rStyle w:val="Hipervnculo"/>
            <w:sz w:val="20"/>
            <w:szCs w:val="20"/>
            <w:u w:val="none"/>
          </w:rPr>
          <w:t>https://www.socialmedicine.info/index.php/socialmedicine/article/view/1123</w:t>
        </w:r>
      </w:hyperlink>
      <w:r w:rsidR="00E17513">
        <w:rPr>
          <w:rStyle w:val="c31"/>
        </w:rPr>
        <w:t xml:space="preserve"> (y en español en </w:t>
      </w:r>
      <w:hyperlink r:id="rId25" w:history="1">
        <w:r w:rsidR="00E17513">
          <w:rPr>
            <w:rStyle w:val="Hipervnculo"/>
            <w:sz w:val="20"/>
            <w:szCs w:val="20"/>
            <w:u w:val="none"/>
          </w:rPr>
          <w:t>(https://www.medicinasocial.info/index.php/medicinasocial/article/view/1147</w:t>
        </w:r>
      </w:hyperlink>
      <w:r w:rsidR="00E17513">
        <w:rPr>
          <w:rStyle w:val="c31"/>
        </w:rPr>
        <w:t>).</w:t>
      </w:r>
    </w:p>
    <w:p w14:paraId="057BCF6A" w14:textId="77777777" w:rsidR="00A6157C" w:rsidRDefault="00760C53" w:rsidP="00BD4849">
      <w:pPr>
        <w:pStyle w:val="c2"/>
        <w:spacing w:before="80" w:beforeAutospacing="0" w:after="80" w:afterAutospacing="0"/>
        <w:ind w:left="425" w:hanging="425"/>
        <w:jc w:val="both"/>
        <w:divId w:val="2102528913"/>
        <w:rPr>
          <w:sz w:val="20"/>
          <w:szCs w:val="20"/>
        </w:rPr>
      </w:pPr>
      <w:hyperlink w:anchor="ftnt_ref5" w:history="1">
        <w:r w:rsidR="00E17513">
          <w:rPr>
            <w:rStyle w:val="Hipervnculo"/>
            <w:sz w:val="20"/>
            <w:szCs w:val="20"/>
            <w:u w:val="none"/>
            <w:lang w:val="en-US"/>
          </w:rPr>
          <w:t>5</w:t>
        </w:r>
      </w:hyperlink>
      <w:r w:rsidR="00E17513">
        <w:rPr>
          <w:rStyle w:val="c31"/>
          <w:lang w:val="en-US"/>
        </w:rPr>
        <w:t xml:space="preserve"> Weber L, Barry-Jester AM. </w:t>
      </w:r>
      <w:r w:rsidR="00E17513">
        <w:rPr>
          <w:rStyle w:val="c31"/>
        </w:rPr>
        <w:t xml:space="preserve">Los bloques conservadores desatan una oleada de litigios para frenar las competencias de la sanidad pública. National Public Radio 2022 (18 de julio). Disponible en </w:t>
      </w:r>
      <w:hyperlink r:id="rId26" w:history="1">
        <w:r w:rsidR="00E17513">
          <w:rPr>
            <w:rStyle w:val="Hipervnculo"/>
            <w:sz w:val="20"/>
            <w:szCs w:val="20"/>
            <w:u w:val="none"/>
          </w:rPr>
          <w:t>https://www.npr.org/sections/health-shots/2022/07/18/1111766924/conservative-bloc-litigation</w:t>
        </w:r>
      </w:hyperlink>
      <w:r w:rsidR="00E17513">
        <w:rPr>
          <w:rStyle w:val="c31"/>
        </w:rPr>
        <w:t xml:space="preserve">. </w:t>
      </w:r>
    </w:p>
    <w:p w14:paraId="79D0CB3A" w14:textId="77777777" w:rsidR="00A6157C" w:rsidRDefault="00760C53" w:rsidP="00BD4849">
      <w:pPr>
        <w:pStyle w:val="c2"/>
        <w:spacing w:before="80" w:beforeAutospacing="0" w:after="80" w:afterAutospacing="0"/>
        <w:ind w:left="425" w:hanging="425"/>
        <w:jc w:val="both"/>
        <w:divId w:val="1020739862"/>
        <w:rPr>
          <w:sz w:val="20"/>
          <w:szCs w:val="20"/>
        </w:rPr>
      </w:pPr>
      <w:hyperlink w:anchor="ftnt_ref6" w:history="1">
        <w:r w:rsidR="00E17513">
          <w:rPr>
            <w:rStyle w:val="Hipervnculo"/>
            <w:sz w:val="20"/>
            <w:szCs w:val="20"/>
            <w:u w:val="none"/>
            <w:lang w:val="en-US"/>
          </w:rPr>
          <w:t>6</w:t>
        </w:r>
      </w:hyperlink>
      <w:r w:rsidR="00E17513">
        <w:rPr>
          <w:rStyle w:val="c31"/>
          <w:lang w:val="en-US"/>
        </w:rPr>
        <w:t xml:space="preserve"> Lehmann C. 10 new ways docs could face legal troubles post-Roe. </w:t>
      </w:r>
      <w:r w:rsidR="00E17513">
        <w:rPr>
          <w:rStyle w:val="c31"/>
        </w:rPr>
        <w:t xml:space="preserve">Medscape Medical News 2022 (4 de agosto). Disponible en https://www.medscape.com/viewarticle/978631. </w:t>
      </w:r>
    </w:p>
    <w:p w14:paraId="5A117956" w14:textId="77777777" w:rsidR="00A6157C" w:rsidRDefault="00760C53" w:rsidP="00BD4849">
      <w:pPr>
        <w:pStyle w:val="c2"/>
        <w:spacing w:before="80" w:beforeAutospacing="0" w:after="80" w:afterAutospacing="0"/>
        <w:ind w:left="425" w:hanging="425"/>
        <w:jc w:val="both"/>
        <w:divId w:val="98529380"/>
        <w:rPr>
          <w:sz w:val="20"/>
          <w:szCs w:val="20"/>
        </w:rPr>
      </w:pPr>
      <w:hyperlink w:anchor="ftnt_ref7" w:history="1">
        <w:r w:rsidR="00E17513">
          <w:rPr>
            <w:rStyle w:val="Hipervnculo"/>
            <w:sz w:val="20"/>
            <w:szCs w:val="20"/>
            <w:u w:val="none"/>
          </w:rPr>
          <w:t>7</w:t>
        </w:r>
      </w:hyperlink>
      <w:r w:rsidR="00E17513">
        <w:rPr>
          <w:rStyle w:val="c31"/>
        </w:rPr>
        <w:t xml:space="preserve"> Donohoe M. Doctors Gone Bad: Médicos, dictaduras y culturas guerreras. Medicina Social 2020:13(2):106-11. Disponible en </w:t>
      </w:r>
      <w:hyperlink r:id="rId27" w:history="1">
        <w:r w:rsidR="00E17513">
          <w:rPr>
            <w:rStyle w:val="Hipervnculo"/>
            <w:sz w:val="20"/>
            <w:szCs w:val="20"/>
            <w:u w:val="none"/>
          </w:rPr>
          <w:t>https://www.socialmedicine.info/index.php/socialmedicine/article/view/1223/2213</w:t>
        </w:r>
      </w:hyperlink>
      <w:r w:rsidR="00E17513">
        <w:rPr>
          <w:rStyle w:val="c31"/>
        </w:rPr>
        <w:t xml:space="preserve">. También disponible en español en </w:t>
      </w:r>
      <w:hyperlink r:id="rId28" w:history="1">
        <w:r w:rsidR="00E17513">
          <w:rPr>
            <w:rStyle w:val="Hipervnculo"/>
            <w:sz w:val="20"/>
            <w:szCs w:val="20"/>
            <w:u w:val="none"/>
          </w:rPr>
          <w:t>https://www.socialmedicine.info/index.php/medicinasocial/article/view/1221</w:t>
        </w:r>
      </w:hyperlink>
      <w:r w:rsidR="00E17513">
        <w:rPr>
          <w:rStyle w:val="c31"/>
        </w:rPr>
        <w:t>.</w:t>
      </w:r>
    </w:p>
    <w:p w14:paraId="6B68CF73" w14:textId="77777777" w:rsidR="00A6157C" w:rsidRDefault="00760C53" w:rsidP="00BD4849">
      <w:pPr>
        <w:pStyle w:val="c2"/>
        <w:spacing w:before="80" w:beforeAutospacing="0" w:after="80" w:afterAutospacing="0"/>
        <w:ind w:left="425" w:hanging="425"/>
        <w:jc w:val="both"/>
        <w:divId w:val="1170176451"/>
        <w:rPr>
          <w:sz w:val="20"/>
          <w:szCs w:val="20"/>
        </w:rPr>
      </w:pPr>
      <w:hyperlink w:anchor="ftnt_ref8" w:history="1">
        <w:r w:rsidR="00E17513">
          <w:rPr>
            <w:rStyle w:val="Hipervnculo"/>
            <w:sz w:val="20"/>
            <w:szCs w:val="20"/>
            <w:u w:val="none"/>
            <w:lang w:val="en-US"/>
          </w:rPr>
          <w:t>8</w:t>
        </w:r>
      </w:hyperlink>
      <w:r w:rsidR="00E17513">
        <w:rPr>
          <w:rStyle w:val="c31"/>
          <w:lang w:val="en-US"/>
        </w:rPr>
        <w:t xml:space="preserve"> Vaniani R, Pitts A, Aurora P. Dismantling Structural Racism in the Academic Residency Clinic. </w:t>
      </w:r>
      <w:r w:rsidR="00E17513">
        <w:rPr>
          <w:rStyle w:val="c31"/>
        </w:rPr>
        <w:t>N Engl J Med 2022; 386:2054-2058.</w:t>
      </w:r>
    </w:p>
    <w:p w14:paraId="2EEB6E9B" w14:textId="77777777" w:rsidR="00A6157C" w:rsidRDefault="00760C53" w:rsidP="00BD4849">
      <w:pPr>
        <w:pStyle w:val="c2"/>
        <w:spacing w:before="80" w:beforeAutospacing="0" w:after="80" w:afterAutospacing="0"/>
        <w:ind w:left="425" w:hanging="425"/>
        <w:jc w:val="both"/>
        <w:divId w:val="1219635945"/>
        <w:rPr>
          <w:sz w:val="20"/>
          <w:szCs w:val="20"/>
        </w:rPr>
      </w:pPr>
      <w:hyperlink w:anchor="ftnt_ref9" w:history="1">
        <w:r w:rsidR="00E17513">
          <w:rPr>
            <w:rStyle w:val="Hipervnculo"/>
            <w:sz w:val="20"/>
            <w:szCs w:val="20"/>
            <w:u w:val="none"/>
          </w:rPr>
          <w:t>9</w:t>
        </w:r>
      </w:hyperlink>
      <w:r w:rsidR="00E17513">
        <w:rPr>
          <w:rStyle w:val="c31"/>
        </w:rPr>
        <w:t xml:space="preserve"> Wynia M. Obligaciones cívicas en </w:t>
      </w:r>
      <w:bookmarkStart w:id="0" w:name="_GoBack"/>
      <w:bookmarkEnd w:id="0"/>
      <w:r w:rsidR="00E17513">
        <w:rPr>
          <w:rStyle w:val="c31"/>
        </w:rPr>
        <w:t xml:space="preserve">medicina: ¿La desobediencia civil "profesional" desgarra o repara el tejido básico de la sociedad? AMA Virtual Mentor. Enero de 2004, volumen 6, número 1. Disponible en </w:t>
      </w:r>
      <w:hyperlink r:id="rId29" w:history="1">
        <w:r w:rsidR="00E17513">
          <w:rPr>
            <w:rStyle w:val="Hipervnculo"/>
            <w:sz w:val="20"/>
            <w:szCs w:val="20"/>
            <w:u w:val="none"/>
          </w:rPr>
          <w:t>https://journalofethics.ama-assn.org/sites/journalofethics.ama-assn.org/files/2018-07/pfor1-0401.pdf</w:t>
        </w:r>
      </w:hyperlink>
      <w:r w:rsidR="00E17513">
        <w:rPr>
          <w:rStyle w:val="c31"/>
        </w:rPr>
        <w:t xml:space="preserve">. </w:t>
      </w:r>
    </w:p>
    <w:p w14:paraId="18FF05A8" w14:textId="77777777" w:rsidR="00A6157C" w:rsidRDefault="00760C53" w:rsidP="00BD4849">
      <w:pPr>
        <w:pStyle w:val="c2"/>
        <w:spacing w:before="80" w:beforeAutospacing="0" w:after="80" w:afterAutospacing="0"/>
        <w:ind w:left="425" w:hanging="425"/>
        <w:jc w:val="both"/>
        <w:divId w:val="800613801"/>
        <w:rPr>
          <w:sz w:val="20"/>
          <w:szCs w:val="20"/>
        </w:rPr>
      </w:pPr>
      <w:hyperlink w:anchor="ftnt_ref10" w:history="1">
        <w:r w:rsidR="00E17513">
          <w:rPr>
            <w:rStyle w:val="Hipervnculo"/>
            <w:sz w:val="20"/>
            <w:szCs w:val="20"/>
            <w:u w:val="none"/>
          </w:rPr>
          <w:t>10</w:t>
        </w:r>
      </w:hyperlink>
      <w:r w:rsidR="00E17513">
        <w:rPr>
          <w:rStyle w:val="c31"/>
        </w:rPr>
        <w:t xml:space="preserve"> Donohoe MT, Schiff G. Call to Service: La justicia social es una cuestión de salud pública (El activismo médico y la relación médico-paciente). AMA Virtual Mentor 2014 (septiembre); 16(9):699-707. Disponible en </w:t>
      </w:r>
      <w:hyperlink r:id="rId30" w:history="1">
        <w:r w:rsidR="00E17513">
          <w:rPr>
            <w:rStyle w:val="Hipervnculo"/>
            <w:sz w:val="20"/>
            <w:szCs w:val="20"/>
            <w:u w:val="none"/>
          </w:rPr>
          <w:t>https://journalofethics.ama-assn.org/article/call-service-social-justice-public-health-issue/2014-09</w:t>
        </w:r>
      </w:hyperlink>
      <w:r w:rsidR="00E17513">
        <w:rPr>
          <w:rStyle w:val="c31"/>
        </w:rPr>
        <w:t>.</w:t>
      </w:r>
    </w:p>
    <w:p w14:paraId="0A88AD3D" w14:textId="77777777" w:rsidR="00A6157C" w:rsidRDefault="00760C53" w:rsidP="00BD4849">
      <w:pPr>
        <w:pStyle w:val="c2"/>
        <w:spacing w:before="80" w:beforeAutospacing="0" w:after="80" w:afterAutospacing="0"/>
        <w:ind w:left="425" w:hanging="425"/>
        <w:jc w:val="both"/>
        <w:divId w:val="1005670004"/>
        <w:rPr>
          <w:sz w:val="20"/>
          <w:szCs w:val="20"/>
        </w:rPr>
      </w:pPr>
      <w:hyperlink w:anchor="ftnt_ref11" w:history="1">
        <w:r w:rsidR="00E17513">
          <w:rPr>
            <w:rStyle w:val="Hipervnculo"/>
            <w:sz w:val="20"/>
            <w:szCs w:val="20"/>
            <w:u w:val="none"/>
          </w:rPr>
          <w:t>11</w:t>
        </w:r>
      </w:hyperlink>
      <w:r w:rsidR="00E17513">
        <w:rPr>
          <w:rStyle w:val="c31"/>
        </w:rPr>
        <w:t xml:space="preserve"> Asociación Médica Americana. Código de Ética Médica, Prefacio y Preámbulo. Disponible en </w:t>
      </w:r>
      <w:hyperlink r:id="rId31" w:history="1">
        <w:r w:rsidR="00E17513">
          <w:rPr>
            <w:rStyle w:val="Hipervnculo"/>
            <w:sz w:val="20"/>
            <w:szCs w:val="20"/>
            <w:u w:val="none"/>
          </w:rPr>
          <w:t>https://www.ama-assn.org/delivering-care/ethics/code-medical-ethics-preface-preamble</w:t>
        </w:r>
      </w:hyperlink>
      <w:r w:rsidR="00E17513">
        <w:rPr>
          <w:rStyle w:val="c31"/>
        </w:rPr>
        <w:t>.</w:t>
      </w:r>
    </w:p>
    <w:p w14:paraId="386AC145" w14:textId="77777777" w:rsidR="00A6157C" w:rsidRDefault="00760C53" w:rsidP="00BD4849">
      <w:pPr>
        <w:pStyle w:val="c2"/>
        <w:spacing w:before="80" w:beforeAutospacing="0" w:after="80" w:afterAutospacing="0"/>
        <w:ind w:left="425" w:hanging="425"/>
        <w:jc w:val="both"/>
        <w:divId w:val="1462650925"/>
        <w:rPr>
          <w:sz w:val="20"/>
          <w:szCs w:val="20"/>
        </w:rPr>
      </w:pPr>
      <w:hyperlink w:anchor="ftnt_ref12" w:history="1">
        <w:r w:rsidR="00E17513">
          <w:rPr>
            <w:rStyle w:val="Hipervnculo"/>
            <w:sz w:val="20"/>
            <w:szCs w:val="20"/>
            <w:u w:val="none"/>
          </w:rPr>
          <w:t>12</w:t>
        </w:r>
      </w:hyperlink>
      <w:r w:rsidR="00E17513">
        <w:rPr>
          <w:rStyle w:val="c31"/>
        </w:rPr>
        <w:t xml:space="preserve"> Kim J. El fin de </w:t>
      </w:r>
      <w:r w:rsidR="00E17513">
        <w:rPr>
          <w:rStyle w:val="c121"/>
        </w:rPr>
        <w:t xml:space="preserve">Roe contra Wade </w:t>
      </w:r>
      <w:r w:rsidR="00E17513">
        <w:rPr>
          <w:rStyle w:val="c31"/>
        </w:rPr>
        <w:t xml:space="preserve">tiene enormes implicaciones económicas también para las parejas masculinas. National Public Radio 2022 (3 de julio). Disponible en </w:t>
      </w:r>
      <w:hyperlink r:id="rId32" w:history="1">
        <w:r w:rsidR="00E17513">
          <w:rPr>
            <w:rStyle w:val="Hipervnculo"/>
            <w:sz w:val="20"/>
            <w:szCs w:val="20"/>
            <w:u w:val="none"/>
          </w:rPr>
          <w:t>https://www.npr.org/2022/06/27/1107715589/abortion-access-impact-on-men</w:t>
        </w:r>
      </w:hyperlink>
      <w:r w:rsidR="00E17513">
        <w:rPr>
          <w:rStyle w:val="c31"/>
        </w:rPr>
        <w:t xml:space="preserve">. </w:t>
      </w:r>
    </w:p>
    <w:p w14:paraId="7285522C" w14:textId="77777777" w:rsidR="00A6157C" w:rsidRDefault="00760C53" w:rsidP="00BD4849">
      <w:pPr>
        <w:pStyle w:val="c2"/>
        <w:spacing w:before="80" w:beforeAutospacing="0" w:after="80" w:afterAutospacing="0"/>
        <w:ind w:left="425" w:hanging="425"/>
        <w:jc w:val="both"/>
        <w:divId w:val="315229110"/>
        <w:rPr>
          <w:sz w:val="20"/>
          <w:szCs w:val="20"/>
        </w:rPr>
      </w:pPr>
      <w:hyperlink w:anchor="ftnt_ref13" w:history="1">
        <w:r w:rsidR="00E17513">
          <w:rPr>
            <w:rStyle w:val="Hipervnculo"/>
            <w:sz w:val="20"/>
            <w:szCs w:val="20"/>
            <w:u w:val="none"/>
          </w:rPr>
          <w:t>13</w:t>
        </w:r>
      </w:hyperlink>
      <w:r w:rsidR="00E17513">
        <w:rPr>
          <w:rStyle w:val="c31"/>
        </w:rPr>
        <w:t xml:space="preserve"> Centro de Derechos Reproductivos. Ley de Protección de la Salud de la Mujer (WHPA)</w:t>
      </w:r>
    </w:p>
    <w:p w14:paraId="7FAE6794" w14:textId="77777777" w:rsidR="00A6157C" w:rsidRDefault="00E17513" w:rsidP="00BD4849">
      <w:pPr>
        <w:pStyle w:val="c2"/>
        <w:spacing w:before="80" w:beforeAutospacing="0" w:after="80" w:afterAutospacing="0"/>
        <w:ind w:left="425" w:hanging="425"/>
        <w:jc w:val="both"/>
        <w:divId w:val="315229110"/>
        <w:rPr>
          <w:sz w:val="20"/>
          <w:szCs w:val="20"/>
        </w:rPr>
      </w:pPr>
      <w:r>
        <w:rPr>
          <w:rStyle w:val="c31"/>
        </w:rPr>
        <w:t xml:space="preserve">Legislación federal para proteger el derecho de acceso a la atención del aborto. 2022 (28 de febrero). Disponible en </w:t>
      </w:r>
      <w:hyperlink r:id="rId33" w:history="1">
        <w:r>
          <w:rPr>
            <w:rStyle w:val="Hipervnculo"/>
            <w:sz w:val="20"/>
            <w:szCs w:val="20"/>
            <w:u w:val="none"/>
          </w:rPr>
          <w:t>https://reproductiverights.org/the-womens-health-protection-act-federal-legislation-to-protect-the-right-to-access-abortion-care/</w:t>
        </w:r>
      </w:hyperlink>
      <w:r>
        <w:rPr>
          <w:rStyle w:val="c31"/>
        </w:rPr>
        <w:t xml:space="preserve">. </w:t>
      </w:r>
    </w:p>
    <w:p w14:paraId="60C893DF" w14:textId="77777777" w:rsidR="00A6157C" w:rsidRDefault="00760C53" w:rsidP="00BD4849">
      <w:pPr>
        <w:pStyle w:val="c2"/>
        <w:spacing w:before="80" w:beforeAutospacing="0" w:after="80" w:afterAutospacing="0"/>
        <w:ind w:left="425" w:hanging="425"/>
        <w:jc w:val="both"/>
        <w:divId w:val="1513760301"/>
        <w:rPr>
          <w:sz w:val="20"/>
          <w:szCs w:val="20"/>
        </w:rPr>
      </w:pPr>
      <w:hyperlink w:anchor="ftnt_ref14" w:history="1">
        <w:r w:rsidR="00E17513">
          <w:rPr>
            <w:rStyle w:val="Hipervnculo"/>
            <w:sz w:val="20"/>
            <w:szCs w:val="20"/>
            <w:u w:val="none"/>
          </w:rPr>
          <w:t>14</w:t>
        </w:r>
      </w:hyperlink>
      <w:r w:rsidR="00E17513">
        <w:rPr>
          <w:rStyle w:val="c31"/>
        </w:rPr>
        <w:t xml:space="preserve"> Donohoe MT. Roles y responsabilidades de los profesionales sanitarios frente a las consecuencias para la salud de la degradación medioambiental y la injusticia social: educación y activismo. Monash Bioethics Review, 2008;27(Nos. 1 y 2):65-82.</w:t>
      </w:r>
    </w:p>
    <w:p w14:paraId="09DDBCA3" w14:textId="77777777" w:rsidR="00A6157C" w:rsidRDefault="00760C53" w:rsidP="00BD4849">
      <w:pPr>
        <w:pStyle w:val="c2"/>
        <w:spacing w:before="80" w:beforeAutospacing="0" w:after="80" w:afterAutospacing="0"/>
        <w:ind w:left="425" w:hanging="425"/>
        <w:jc w:val="both"/>
        <w:divId w:val="783187537"/>
        <w:rPr>
          <w:sz w:val="20"/>
          <w:szCs w:val="20"/>
        </w:rPr>
      </w:pPr>
      <w:hyperlink w:anchor="ftnt_ref15" w:history="1">
        <w:r w:rsidR="00E17513">
          <w:rPr>
            <w:rStyle w:val="Hipervnculo"/>
            <w:sz w:val="20"/>
            <w:szCs w:val="20"/>
            <w:u w:val="none"/>
          </w:rPr>
          <w:t>15</w:t>
        </w:r>
      </w:hyperlink>
      <w:r w:rsidR="00E17513">
        <w:rPr>
          <w:rStyle w:val="c31"/>
        </w:rPr>
        <w:t xml:space="preserve"> Wiist W, Barker K, Arya N, Rohde J, Donohoe M, White S, Lubens P, Gorman G, Hagopian A. El papel de la salud pública en la prevención de la guerra: fundamentos y competencias. Am J Publ Hlth 2014(6):e34-e47. Disponible en </w:t>
      </w:r>
      <w:hyperlink r:id="rId34" w:history="1">
        <w:r w:rsidR="00E17513">
          <w:rPr>
            <w:rStyle w:val="Hipervnculo"/>
            <w:sz w:val="20"/>
            <w:szCs w:val="20"/>
            <w:u w:val="none"/>
          </w:rPr>
          <w:t>http://ajph.aphapublications.org/toc/ajph/104/6</w:t>
        </w:r>
      </w:hyperlink>
      <w:r w:rsidR="00E17513">
        <w:rPr>
          <w:rStyle w:val="c31"/>
        </w:rPr>
        <w:t>.</w:t>
      </w:r>
    </w:p>
    <w:p w14:paraId="1A9A7EE7" w14:textId="77777777" w:rsidR="00A6157C" w:rsidRDefault="00760C53" w:rsidP="00BD4849">
      <w:pPr>
        <w:pStyle w:val="c2"/>
        <w:spacing w:before="80" w:beforeAutospacing="0" w:after="80" w:afterAutospacing="0"/>
        <w:ind w:left="425" w:hanging="425"/>
        <w:jc w:val="both"/>
        <w:divId w:val="435713840"/>
        <w:rPr>
          <w:rStyle w:val="c31"/>
          <w:sz w:val="22"/>
          <w:szCs w:val="22"/>
        </w:rPr>
      </w:pPr>
      <w:hyperlink w:anchor="ftnt_ref16" w:history="1">
        <w:r w:rsidR="00E17513" w:rsidRPr="00BC55D8">
          <w:rPr>
            <w:rStyle w:val="Hipervnculo"/>
            <w:sz w:val="20"/>
            <w:szCs w:val="20"/>
            <w:u w:val="none"/>
            <w:lang w:val="en-US"/>
          </w:rPr>
          <w:t>16</w:t>
        </w:r>
      </w:hyperlink>
      <w:r w:rsidR="00E17513" w:rsidRPr="00BC55D8">
        <w:rPr>
          <w:rStyle w:val="c31"/>
          <w:lang w:val="en-US"/>
        </w:rPr>
        <w:t xml:space="preserve"> Vinekar K, Karlapudi A, Nathan L, Turk J, Rible Radhika, Steinauer Jody. </w:t>
      </w:r>
      <w:r w:rsidR="00E17513">
        <w:rPr>
          <w:rStyle w:val="c31"/>
          <w:lang w:val="en-US"/>
        </w:rPr>
        <w:t xml:space="preserve">Projected Implications of Overturning </w:t>
      </w:r>
      <w:r w:rsidR="00E17513">
        <w:rPr>
          <w:rStyle w:val="c121"/>
          <w:lang w:val="en-US"/>
        </w:rPr>
        <w:t xml:space="preserve">Roe v Wade </w:t>
      </w:r>
      <w:r w:rsidR="00E17513">
        <w:rPr>
          <w:rStyle w:val="c31"/>
          <w:lang w:val="en-US"/>
        </w:rPr>
        <w:t xml:space="preserve">on Abortion Training in U.S. Obstetrics and Gynecology Residency Programs. </w:t>
      </w:r>
      <w:r w:rsidR="00E17513">
        <w:rPr>
          <w:rStyle w:val="c31"/>
        </w:rPr>
        <w:t xml:space="preserve">Obstetrics &amp; Gynecology: 2022 (27 de abril). Disponible en </w:t>
      </w:r>
      <w:hyperlink r:id="rId35" w:history="1">
        <w:r w:rsidR="00E17513">
          <w:rPr>
            <w:rStyle w:val="Hipervnculo"/>
            <w:sz w:val="20"/>
            <w:szCs w:val="20"/>
            <w:u w:val="none"/>
          </w:rPr>
          <w:t>https://journals.lww.com/greenjournal/Fulltext/9900/Projected_Implications_of_Overturning_Roe_v_Wade.449.aspx</w:t>
        </w:r>
      </w:hyperlink>
      <w:r w:rsidR="00E17513">
        <w:rPr>
          <w:rStyle w:val="c31"/>
        </w:rPr>
        <w:t xml:space="preserve">. </w:t>
      </w:r>
    </w:p>
    <w:p w14:paraId="3403148C" w14:textId="77777777" w:rsidR="00A6157C" w:rsidRDefault="00A6157C">
      <w:pPr>
        <w:rPr>
          <w:rStyle w:val="c31"/>
        </w:rPr>
        <w:sectPr w:rsidR="00A6157C">
          <w:type w:val="continuous"/>
          <w:pgSz w:w="12240" w:h="15840"/>
          <w:pgMar w:top="1440" w:right="1440" w:bottom="1440" w:left="1440" w:header="709" w:footer="709" w:gutter="0"/>
          <w:cols w:num="2" w:space="357"/>
        </w:sectPr>
      </w:pPr>
    </w:p>
    <w:p w14:paraId="75381446" w14:textId="77777777" w:rsidR="00A6157C" w:rsidRDefault="00A6157C">
      <w:pPr>
        <w:pStyle w:val="c2"/>
        <w:spacing w:before="0" w:beforeAutospacing="0" w:after="0" w:afterAutospacing="0"/>
        <w:rPr>
          <w:rStyle w:val="c31"/>
        </w:rPr>
      </w:pPr>
    </w:p>
    <w:p w14:paraId="036EC455" w14:textId="77777777" w:rsidR="00A6157C" w:rsidRDefault="00A6157C">
      <w:pPr>
        <w:pStyle w:val="c2"/>
        <w:spacing w:before="0" w:beforeAutospacing="0" w:after="0" w:afterAutospacing="0"/>
        <w:rPr>
          <w:rStyle w:val="c31"/>
        </w:rPr>
      </w:pPr>
    </w:p>
    <w:p w14:paraId="4B6EB0F1" w14:textId="77777777" w:rsidR="00A6157C" w:rsidRDefault="00A6157C">
      <w:pPr>
        <w:pStyle w:val="c2"/>
        <w:spacing w:before="0" w:beforeAutospacing="0" w:after="0" w:afterAutospacing="0"/>
        <w:rPr>
          <w:rStyle w:val="c31"/>
        </w:rPr>
      </w:pPr>
    </w:p>
    <w:p w14:paraId="7086F300" w14:textId="77777777" w:rsidR="00A6157C" w:rsidRDefault="00A6157C">
      <w:pPr>
        <w:pStyle w:val="c2"/>
        <w:spacing w:before="0" w:beforeAutospacing="0" w:after="0" w:afterAutospacing="0"/>
        <w:rPr>
          <w:rStyle w:val="c31"/>
        </w:rPr>
      </w:pPr>
    </w:p>
    <w:p w14:paraId="042544F5" w14:textId="77777777" w:rsidR="00A6157C" w:rsidRDefault="00A6157C">
      <w:pPr>
        <w:pStyle w:val="c2"/>
        <w:spacing w:before="0" w:beforeAutospacing="0" w:after="0" w:afterAutospacing="0"/>
        <w:rPr>
          <w:rStyle w:val="c31"/>
        </w:rPr>
      </w:pPr>
    </w:p>
    <w:p w14:paraId="24D32B85" w14:textId="77777777" w:rsidR="00A6157C" w:rsidRDefault="00A6157C">
      <w:pPr>
        <w:pStyle w:val="c2"/>
        <w:spacing w:before="0" w:beforeAutospacing="0" w:after="0" w:afterAutospacing="0"/>
        <w:rPr>
          <w:rStyle w:val="c31"/>
        </w:rPr>
      </w:pPr>
    </w:p>
    <w:p w14:paraId="54394FDA" w14:textId="77777777" w:rsidR="00A6157C" w:rsidRPr="00FD681B" w:rsidRDefault="00A6157C">
      <w:pPr>
        <w:autoSpaceDE w:val="0"/>
        <w:autoSpaceDN w:val="0"/>
        <w:adjustRightInd w:val="0"/>
        <w:spacing w:line="20" w:lineRule="atLeast"/>
        <w:jc w:val="both"/>
        <w:rPr>
          <w:sz w:val="22"/>
          <w:szCs w:val="22"/>
        </w:rPr>
      </w:pPr>
    </w:p>
    <w:p w14:paraId="35B9436D" w14:textId="77777777" w:rsidR="00A6157C" w:rsidRPr="00FD681B" w:rsidRDefault="00A6157C">
      <w:pPr>
        <w:autoSpaceDE w:val="0"/>
        <w:autoSpaceDN w:val="0"/>
        <w:adjustRightInd w:val="0"/>
        <w:spacing w:line="20" w:lineRule="atLeast"/>
        <w:jc w:val="both"/>
        <w:rPr>
          <w:sz w:val="22"/>
          <w:szCs w:val="22"/>
        </w:rPr>
      </w:pPr>
    </w:p>
    <w:p w14:paraId="5DFE0C91" w14:textId="77777777" w:rsidR="00FD681B" w:rsidRPr="00FD681B" w:rsidRDefault="00FD681B" w:rsidP="00FD681B">
      <w:pPr>
        <w:spacing w:line="20" w:lineRule="atLeast"/>
        <w:jc w:val="both"/>
        <w:rPr>
          <w:b/>
          <w:bCs/>
          <w:sz w:val="22"/>
          <w:szCs w:val="22"/>
        </w:rPr>
      </w:pPr>
      <w:r w:rsidRPr="00FD681B">
        <w:rPr>
          <w:b/>
          <w:bCs/>
          <w:sz w:val="22"/>
          <w:szCs w:val="22"/>
        </w:rPr>
        <w:t xml:space="preserve">Recibido: </w:t>
      </w:r>
      <w:r w:rsidRPr="00FD681B">
        <w:rPr>
          <w:sz w:val="22"/>
          <w:szCs w:val="22"/>
        </w:rPr>
        <w:t>08 de noviembre de 2022.</w:t>
      </w:r>
      <w:r w:rsidRPr="00FD681B">
        <w:rPr>
          <w:b/>
          <w:bCs/>
          <w:sz w:val="22"/>
          <w:szCs w:val="22"/>
        </w:rPr>
        <w:t xml:space="preserve"> </w:t>
      </w:r>
    </w:p>
    <w:p w14:paraId="76350CFC" w14:textId="777426A2" w:rsidR="00FD681B" w:rsidRPr="00FD681B" w:rsidRDefault="00FD681B" w:rsidP="00FD681B">
      <w:pPr>
        <w:spacing w:line="20" w:lineRule="atLeast"/>
        <w:jc w:val="both"/>
        <w:rPr>
          <w:b/>
          <w:bCs/>
          <w:sz w:val="22"/>
          <w:szCs w:val="22"/>
        </w:rPr>
      </w:pPr>
      <w:r w:rsidRPr="00FD681B">
        <w:rPr>
          <w:b/>
          <w:bCs/>
          <w:sz w:val="22"/>
          <w:szCs w:val="22"/>
        </w:rPr>
        <w:t xml:space="preserve">Aceptado: </w:t>
      </w:r>
      <w:r w:rsidRPr="00FD681B">
        <w:rPr>
          <w:sz w:val="22"/>
          <w:szCs w:val="22"/>
        </w:rPr>
        <w:t>15 de diciembre de202</w:t>
      </w:r>
      <w:r w:rsidR="00BC55D8">
        <w:rPr>
          <w:sz w:val="22"/>
          <w:szCs w:val="22"/>
        </w:rPr>
        <w:t>2</w:t>
      </w:r>
      <w:r w:rsidRPr="00FD681B">
        <w:rPr>
          <w:sz w:val="22"/>
          <w:szCs w:val="22"/>
        </w:rPr>
        <w:t>.</w:t>
      </w:r>
    </w:p>
    <w:p w14:paraId="4F368D22" w14:textId="6C40187B" w:rsidR="00A6157C" w:rsidRPr="00FD681B" w:rsidRDefault="00FD681B" w:rsidP="00FD681B">
      <w:pPr>
        <w:spacing w:line="20" w:lineRule="atLeast"/>
        <w:jc w:val="both"/>
        <w:rPr>
          <w:sz w:val="22"/>
          <w:szCs w:val="22"/>
        </w:rPr>
      </w:pPr>
      <w:r w:rsidRPr="00FD681B">
        <w:rPr>
          <w:b/>
          <w:bCs/>
          <w:sz w:val="22"/>
          <w:szCs w:val="22"/>
        </w:rPr>
        <w:t xml:space="preserve">Conflicto de intereses: </w:t>
      </w:r>
      <w:r w:rsidRPr="00FD681B">
        <w:rPr>
          <w:sz w:val="22"/>
          <w:szCs w:val="22"/>
        </w:rPr>
        <w:t>ninguno.</w:t>
      </w:r>
    </w:p>
    <w:p w14:paraId="7AD12B1D" w14:textId="77777777" w:rsidR="00A6157C" w:rsidRPr="00FD681B" w:rsidRDefault="00A6157C">
      <w:pPr>
        <w:spacing w:line="20" w:lineRule="atLeast"/>
        <w:jc w:val="both"/>
        <w:rPr>
          <w:sz w:val="22"/>
          <w:szCs w:val="22"/>
        </w:rPr>
      </w:pPr>
    </w:p>
    <w:p w14:paraId="456FE89A" w14:textId="77777777" w:rsidR="00A6157C" w:rsidRPr="00FD681B" w:rsidRDefault="00A6157C">
      <w:pPr>
        <w:spacing w:line="20" w:lineRule="atLeast"/>
        <w:jc w:val="both"/>
        <w:rPr>
          <w:sz w:val="22"/>
          <w:szCs w:val="22"/>
        </w:rPr>
      </w:pPr>
    </w:p>
    <w:p w14:paraId="713B3987" w14:textId="77777777" w:rsidR="00A6157C" w:rsidRDefault="00A6157C">
      <w:pPr>
        <w:pStyle w:val="Body"/>
        <w:spacing w:after="0" w:line="240" w:lineRule="auto"/>
        <w:rPr>
          <w:sz w:val="20"/>
          <w:szCs w:val="20"/>
          <w:lang w:val="es-MX"/>
        </w:rPr>
      </w:pPr>
    </w:p>
    <w:p w14:paraId="081AEB3B" w14:textId="77777777" w:rsidR="00A6157C" w:rsidRDefault="00E17513">
      <w:pPr>
        <w:pStyle w:val="Body"/>
        <w:spacing w:after="0" w:line="240" w:lineRule="auto"/>
        <w:jc w:val="center"/>
        <w:rPr>
          <w:sz w:val="20"/>
          <w:szCs w:val="20"/>
          <w:lang w:val="es-MX"/>
        </w:rPr>
      </w:pPr>
      <w:r>
        <w:rPr>
          <w:rFonts w:ascii="Times New Roman" w:eastAsia="Times New Roman" w:hAnsi="Times New Roman" w:cs="Times New Roman"/>
          <w:noProof/>
          <w:lang w:val="es-MX"/>
          <w14:textOutline w14:w="0" w14:cap="rnd" w14:cmpd="sng" w14:algn="ctr">
            <w14:noFill/>
            <w14:prstDash w14:val="solid"/>
            <w14:bevel/>
          </w14:textOutline>
        </w:rPr>
        <w:drawing>
          <wp:inline distT="0" distB="0" distL="0" distR="0" wp14:anchorId="65AF11E0" wp14:editId="084D9F56">
            <wp:extent cx="2981325" cy="1238250"/>
            <wp:effectExtent l="0" t="0" r="9525" b="0"/>
            <wp:docPr id="2"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10;&#10;Descripción generada automáticament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81325" cy="1238250"/>
                    </a:xfrm>
                    <a:prstGeom prst="rect">
                      <a:avLst/>
                    </a:prstGeom>
                    <a:solidFill>
                      <a:srgbClr val="FFFFFF"/>
                    </a:solidFill>
                    <a:ln>
                      <a:noFill/>
                    </a:ln>
                  </pic:spPr>
                </pic:pic>
              </a:graphicData>
            </a:graphic>
          </wp:inline>
        </w:drawing>
      </w:r>
    </w:p>
    <w:p w14:paraId="0BBEDB3A" w14:textId="77777777" w:rsidR="00A6157C" w:rsidRDefault="00A6157C">
      <w:pPr>
        <w:jc w:val="both"/>
      </w:pPr>
    </w:p>
    <w:p w14:paraId="33ECFAAA" w14:textId="77777777" w:rsidR="00A6157C" w:rsidRDefault="00A6157C">
      <w:pPr>
        <w:jc w:val="both"/>
      </w:pPr>
    </w:p>
    <w:p w14:paraId="2559273F" w14:textId="77777777" w:rsidR="00A6157C" w:rsidRDefault="00A6157C">
      <w:pPr>
        <w:jc w:val="both"/>
      </w:pPr>
    </w:p>
    <w:p w14:paraId="68436D68" w14:textId="77777777" w:rsidR="007E7E92" w:rsidRDefault="007E7E92">
      <w:pPr>
        <w:pStyle w:val="c2"/>
        <w:spacing w:before="0" w:beforeAutospacing="0" w:after="0" w:afterAutospacing="0"/>
      </w:pPr>
    </w:p>
    <w:sectPr w:rsidR="007E7E92">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C1E56" w14:textId="77777777" w:rsidR="00760C53" w:rsidRDefault="00760C53">
      <w:r>
        <w:separator/>
      </w:r>
    </w:p>
  </w:endnote>
  <w:endnote w:type="continuationSeparator" w:id="0">
    <w:p w14:paraId="0A0CE3B3" w14:textId="77777777" w:rsidR="00760C53" w:rsidRDefault="007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692172"/>
      <w:docPartObj>
        <w:docPartGallery w:val="Page Numbers (Bottom of Page)"/>
        <w:docPartUnique/>
      </w:docPartObj>
    </w:sdtPr>
    <w:sdtEndPr/>
    <w:sdtContent>
      <w:p w14:paraId="0F9030B3" w14:textId="77777777" w:rsidR="00A6157C" w:rsidRDefault="00E17513">
        <w:pPr>
          <w:pBdr>
            <w:top w:val="single" w:sz="12" w:space="1" w:color="000000"/>
          </w:pBdr>
          <w:spacing w:line="264" w:lineRule="auto"/>
          <w:ind w:right="15"/>
        </w:pPr>
        <w:r>
          <w:rPr>
            <w:noProof/>
          </w:rPr>
          <mc:AlternateContent>
            <mc:Choice Requires="wps">
              <w:drawing>
                <wp:anchor distT="0" distB="0" distL="0" distR="0" simplePos="0" relativeHeight="251658240" behindDoc="0" locked="0" layoutInCell="1" allowOverlap="1" wp14:anchorId="34CD6FED" wp14:editId="484BA2B3">
                  <wp:simplePos x="0" y="0"/>
                  <wp:positionH relativeFrom="margin">
                    <wp:posOffset>2733675</wp:posOffset>
                  </wp:positionH>
                  <wp:positionV relativeFrom="paragraph">
                    <wp:posOffset>23495</wp:posOffset>
                  </wp:positionV>
                  <wp:extent cx="476250" cy="2286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solidFill>
                            <a:srgbClr val="FFFFFF">
                              <a:alpha val="0"/>
                            </a:srgbClr>
                          </a:solidFill>
                          <a:ln>
                            <a:noFill/>
                          </a:ln>
                        </wps:spPr>
                        <wps:txbx>
                          <w:txbxContent>
                            <w:p w14:paraId="0D50778A" w14:textId="77777777" w:rsidR="00A6157C" w:rsidRDefault="00E17513">
                              <w:pPr>
                                <w:tabs>
                                  <w:tab w:val="center" w:pos="4419"/>
                                  <w:tab w:val="right" w:pos="8838"/>
                                </w:tabs>
                                <w:jc w:val="center"/>
                              </w:pPr>
                              <w:r>
                                <w:rPr>
                                  <w:rFonts w:eastAsia="BatangChe"/>
                                  <w:szCs w:val="20"/>
                                </w:rPr>
                                <w:t>-</w:t>
                              </w:r>
                              <w:r>
                                <w:rPr>
                                  <w:rFonts w:eastAsia="BatangChe"/>
                                </w:rPr>
                                <w:fldChar w:fldCharType="begin"/>
                              </w:r>
                              <w:r>
                                <w:rPr>
                                  <w:rFonts w:eastAsia="BatangChe"/>
                                </w:rPr>
                                <w:instrText xml:space="preserve"> PAGE </w:instrText>
                              </w:r>
                              <w:r>
                                <w:rPr>
                                  <w:rFonts w:eastAsia="BatangChe"/>
                                </w:rPr>
                                <w:fldChar w:fldCharType="separate"/>
                              </w:r>
                              <w:r w:rsidR="00760C53">
                                <w:rPr>
                                  <w:rFonts w:eastAsia="BatangChe"/>
                                  <w:noProof/>
                                </w:rPr>
                                <w:t>40</w:t>
                              </w:r>
                              <w:r>
                                <w:rPr>
                                  <w:rFonts w:eastAsia="BatangChe"/>
                                </w:rPr>
                                <w:fldChar w:fldCharType="end"/>
                              </w:r>
                              <w:r>
                                <w:rPr>
                                  <w:rFonts w:eastAsia="BatangChe"/>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215.25pt;margin-top:1.85pt;width:37.5pt;height:18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" stroked="f">
                  <v:fill opacity="0"/>
                  <v:textbox inset="0,0,0,0">
                    <w:txbxContent>
                      <w:p w14:paraId="0D50778A" w14:textId="77777777" w:rsidR="00A6157C" w:rsidRDefault="00E17513">
                        <w:pPr>
                          <w:tabs>
                            <w:tab w:val="center" w:pos="4419"/>
                            <w:tab w:val="right" w:pos="8838"/>
                          </w:tabs>
                          <w:jc w:val="center"/>
                        </w:pPr>
                        <w:r>
                          <w:rPr>
                            <w:rFonts w:eastAsia="BatangChe"/>
                            <w:szCs w:val="20"/>
                          </w:rPr>
                          <w:t>-</w:t>
                        </w:r>
                        <w:r>
                          <w:rPr>
                            <w:rFonts w:eastAsia="BatangChe"/>
                          </w:rPr>
                          <w:fldChar w:fldCharType="begin"/>
                        </w:r>
                        <w:r>
                          <w:rPr>
                            <w:rFonts w:eastAsia="BatangChe"/>
                          </w:rPr>
                          <w:instrText xml:space="preserve"> PAGE </w:instrText>
                        </w:r>
                        <w:r>
                          <w:rPr>
                            <w:rFonts w:eastAsia="BatangChe"/>
                          </w:rPr>
                          <w:fldChar w:fldCharType="separate"/>
                        </w:r>
                        <w:r w:rsidR="00760C53">
                          <w:rPr>
                            <w:rFonts w:eastAsia="BatangChe"/>
                            <w:noProof/>
                          </w:rPr>
                          <w:t>40</w:t>
                        </w:r>
                        <w:r>
                          <w:rPr>
                            <w:rFonts w:eastAsia="BatangChe"/>
                          </w:rPr>
                          <w:fldChar w:fldCharType="end"/>
                        </w:r>
                        <w:r>
                          <w:rPr>
                            <w:rFonts w:eastAsia="BatangChe"/>
                            <w:szCs w:val="20"/>
                          </w:rPr>
                          <w:t>-</w:t>
                        </w:r>
                      </w:p>
                    </w:txbxContent>
                  </v:textbox>
                  <w10:wrap anchorx="margin"/>
                </v:shape>
              </w:pict>
            </mc:Fallback>
          </mc:AlternateContent>
        </w:r>
        <w:r>
          <w:rPr>
            <w:rFonts w:eastAsia="Arial Unicode MS"/>
            <w:sz w:val="20"/>
            <w:szCs w:val="20"/>
            <w:lang w:val="es-ES" w:eastAsia="ar-SA"/>
          </w:rPr>
          <w:t>Medicina Social (</w:t>
        </w:r>
        <w:hyperlink r:id="rId1" w:history="1">
          <w:r>
            <w:rPr>
              <w:rStyle w:val="Hipervnculo"/>
              <w:rFonts w:eastAsia="Arial Unicode MS"/>
              <w:color w:val="0066FF"/>
              <w:sz w:val="20"/>
              <w:szCs w:val="20"/>
              <w:u w:val="none"/>
            </w:rPr>
            <w:t>www.medicinasocial.info</w:t>
          </w:r>
        </w:hyperlink>
        <w:r>
          <w:rPr>
            <w:rFonts w:eastAsia="Arial Unicode MS"/>
            <w:sz w:val="20"/>
            <w:szCs w:val="20"/>
            <w:lang w:val="es-ES" w:eastAsia="ar-SA"/>
          </w:rPr>
          <w:t>)                                          volumen 16, número 1, enero – abril de 2023.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18C0B" w14:textId="77777777" w:rsidR="00760C53" w:rsidRDefault="00760C53">
      <w:r>
        <w:separator/>
      </w:r>
    </w:p>
  </w:footnote>
  <w:footnote w:type="continuationSeparator" w:id="0">
    <w:p w14:paraId="48827F3C" w14:textId="77777777" w:rsidR="00760C53" w:rsidRDefault="00760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0"/>
  <w:noPunctuationKerning/>
  <w:characterSpacingControl w:val="doNotCompress"/>
  <w:savePreviewPicture/>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217D5"/>
    <w:rsid w:val="001179DB"/>
    <w:rsid w:val="00211EB8"/>
    <w:rsid w:val="002A2ED7"/>
    <w:rsid w:val="00700980"/>
    <w:rsid w:val="00760C53"/>
    <w:rsid w:val="007E7E92"/>
    <w:rsid w:val="009F4E7E"/>
    <w:rsid w:val="00A6157C"/>
    <w:rsid w:val="00AC2D3A"/>
    <w:rsid w:val="00AF3C22"/>
    <w:rsid w:val="00BC55D8"/>
    <w:rsid w:val="00BD4849"/>
    <w:rsid w:val="00C17636"/>
    <w:rsid w:val="00C217D5"/>
    <w:rsid w:val="00E17513"/>
    <w:rsid w:val="00FD6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keepNext/>
      <w:spacing w:before="100" w:beforeAutospacing="1" w:after="100" w:afterAutospacing="1"/>
      <w:outlineLvl w:val="0"/>
    </w:pPr>
    <w:rPr>
      <w:b/>
      <w:bCs/>
      <w:color w:val="000000"/>
      <w:kern w:val="36"/>
      <w:sz w:val="48"/>
      <w:szCs w:val="48"/>
    </w:rPr>
  </w:style>
  <w:style w:type="paragraph" w:styleId="Ttulo2">
    <w:name w:val="heading 2"/>
    <w:basedOn w:val="Normal"/>
    <w:link w:val="Ttulo2Car"/>
    <w:uiPriority w:val="9"/>
    <w:qFormat/>
    <w:pPr>
      <w:keepNext/>
      <w:spacing w:before="100" w:beforeAutospacing="1" w:after="100" w:afterAutospacing="1"/>
      <w:outlineLvl w:val="1"/>
    </w:pPr>
    <w:rPr>
      <w:b/>
      <w:bCs/>
      <w:color w:val="000000"/>
      <w:sz w:val="36"/>
      <w:szCs w:val="36"/>
    </w:rPr>
  </w:style>
  <w:style w:type="paragraph" w:styleId="Ttulo3">
    <w:name w:val="heading 3"/>
    <w:basedOn w:val="Normal"/>
    <w:link w:val="Ttulo3Car"/>
    <w:uiPriority w:val="9"/>
    <w:qFormat/>
    <w:pPr>
      <w:keepNext/>
      <w:spacing w:before="100" w:beforeAutospacing="1" w:after="100" w:afterAutospacing="1"/>
      <w:outlineLvl w:val="2"/>
    </w:pPr>
    <w:rPr>
      <w:b/>
      <w:bCs/>
      <w:color w:val="000000"/>
      <w:sz w:val="28"/>
      <w:szCs w:val="28"/>
    </w:rPr>
  </w:style>
  <w:style w:type="paragraph" w:styleId="Ttulo4">
    <w:name w:val="heading 4"/>
    <w:basedOn w:val="Normal"/>
    <w:link w:val="Ttulo4Car"/>
    <w:uiPriority w:val="9"/>
    <w:qFormat/>
    <w:pPr>
      <w:keepNext/>
      <w:spacing w:before="100" w:beforeAutospacing="1" w:after="100" w:afterAutospacing="1"/>
      <w:outlineLvl w:val="3"/>
    </w:pPr>
    <w:rPr>
      <w:b/>
      <w:bCs/>
      <w:color w:val="000000"/>
    </w:rPr>
  </w:style>
  <w:style w:type="paragraph" w:styleId="Ttulo5">
    <w:name w:val="heading 5"/>
    <w:basedOn w:val="Normal"/>
    <w:link w:val="Ttulo5Car"/>
    <w:uiPriority w:val="9"/>
    <w:qFormat/>
    <w:pPr>
      <w:keepNext/>
      <w:spacing w:before="100" w:beforeAutospacing="1" w:after="100" w:afterAutospacing="1"/>
      <w:outlineLvl w:val="4"/>
    </w:pPr>
    <w:rPr>
      <w:b/>
      <w:bCs/>
      <w:color w:val="000000"/>
      <w:sz w:val="22"/>
      <w:szCs w:val="22"/>
    </w:rPr>
  </w:style>
  <w:style w:type="paragraph" w:styleId="Ttulo6">
    <w:name w:val="heading 6"/>
    <w:basedOn w:val="Normal"/>
    <w:link w:val="Ttulo6Car"/>
    <w:uiPriority w:val="9"/>
    <w:qFormat/>
    <w:pPr>
      <w:keepNext/>
      <w:spacing w:before="100" w:beforeAutospacing="1" w:after="100" w:afterAutospacing="1"/>
      <w:outlineLvl w:val="5"/>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character" w:customStyle="1" w:styleId="Ttulo1Car">
    <w:name w:val="Título 1 Car"/>
    <w:basedOn w:val="Fuentedeprrafopredeter"/>
    <w:link w:val="Ttulo1"/>
    <w:uiPriority w:val="9"/>
    <w:locked/>
    <w:rPr>
      <w:rFonts w:asciiTheme="majorHAnsi" w:eastAsiaTheme="majorEastAsia" w:hAnsiTheme="majorHAnsi" w:cstheme="majorBidi" w:hint="default"/>
      <w:color w:val="2F5496" w:themeColor="accent1" w:themeShade="BF"/>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Ttulo3Car">
    <w:name w:val="Título 3 Car"/>
    <w:basedOn w:val="Fuentedeprrafopredeter"/>
    <w:link w:val="Ttulo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Ttulo4Car">
    <w:name w:val="Título 4 Car"/>
    <w:basedOn w:val="Fuentedeprrafopredeter"/>
    <w:link w:val="Ttulo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Ttulo5Car">
    <w:name w:val="Título 5 Car"/>
    <w:basedOn w:val="Fuentedeprrafopredeter"/>
    <w:link w:val="Ttulo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Ttulo6Car">
    <w:name w:val="Título 6 Car"/>
    <w:basedOn w:val="Fuentedeprrafopredeter"/>
    <w:link w:val="Ttulo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rPr>
      <w:color w:val="000000"/>
    </w:rPr>
  </w:style>
  <w:style w:type="paragraph" w:styleId="NormalWeb">
    <w:name w:val="Normal (Web)"/>
    <w:basedOn w:val="Normal"/>
    <w:uiPriority w:val="99"/>
    <w:semiHidden/>
    <w:unhideWhenUsed/>
    <w:rPr>
      <w:color w:val="000000"/>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locked/>
    <w:rPr>
      <w:rFonts w:ascii="Times New Roman" w:eastAsiaTheme="minorEastAsia" w:hAnsi="Times New Roman" w:cs="Times New Roman" w:hint="default"/>
      <w:sz w:val="24"/>
      <w:szCs w:val="24"/>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locked/>
    <w:rPr>
      <w:rFonts w:ascii="Times New Roman" w:eastAsiaTheme="minorEastAsia" w:hAnsi="Times New Roman" w:cs="Times New Roman" w:hint="default"/>
      <w:sz w:val="24"/>
      <w:szCs w:val="24"/>
    </w:rPr>
  </w:style>
  <w:style w:type="paragraph" w:customStyle="1" w:styleId="c7">
    <w:name w:val="c7"/>
    <w:basedOn w:val="Normal"/>
    <w:uiPriority w:val="99"/>
    <w:semiHidden/>
    <w:pPr>
      <w:spacing w:before="100" w:beforeAutospacing="1" w:after="100" w:afterAutospacing="1"/>
    </w:pPr>
    <w:rPr>
      <w:color w:val="000000"/>
      <w:sz w:val="20"/>
      <w:szCs w:val="20"/>
      <w:u w:val="single"/>
    </w:rPr>
  </w:style>
  <w:style w:type="paragraph" w:customStyle="1" w:styleId="c3">
    <w:name w:val="c3"/>
    <w:basedOn w:val="Normal"/>
    <w:uiPriority w:val="99"/>
    <w:semiHidden/>
    <w:pPr>
      <w:spacing w:before="100" w:beforeAutospacing="1" w:after="100" w:afterAutospacing="1"/>
    </w:pPr>
    <w:rPr>
      <w:color w:val="000000"/>
      <w:sz w:val="20"/>
      <w:szCs w:val="20"/>
    </w:rPr>
  </w:style>
  <w:style w:type="paragraph" w:customStyle="1" w:styleId="c1">
    <w:name w:val="c1"/>
    <w:basedOn w:val="Normal"/>
    <w:uiPriority w:val="99"/>
    <w:semiHidden/>
    <w:pPr>
      <w:spacing w:before="100" w:beforeAutospacing="1" w:after="100" w:afterAutospacing="1"/>
    </w:pPr>
    <w:rPr>
      <w:color w:val="000000"/>
      <w:sz w:val="22"/>
      <w:szCs w:val="22"/>
    </w:rPr>
  </w:style>
  <w:style w:type="paragraph" w:customStyle="1" w:styleId="c15">
    <w:name w:val="c15"/>
    <w:basedOn w:val="Normal"/>
    <w:uiPriority w:val="99"/>
    <w:semiHidden/>
    <w:pPr>
      <w:spacing w:before="100" w:beforeAutospacing="1" w:after="100" w:afterAutospacing="1"/>
    </w:pPr>
    <w:rPr>
      <w:color w:val="000000"/>
    </w:rPr>
  </w:style>
  <w:style w:type="paragraph" w:customStyle="1" w:styleId="c6">
    <w:name w:val="c6"/>
    <w:basedOn w:val="Normal"/>
    <w:uiPriority w:val="99"/>
    <w:semiHidden/>
    <w:pPr>
      <w:spacing w:before="100" w:beforeAutospacing="1" w:after="100" w:afterAutospacing="1"/>
    </w:pPr>
    <w:rPr>
      <w:color w:val="000000"/>
      <w:sz w:val="48"/>
      <w:szCs w:val="48"/>
    </w:rPr>
  </w:style>
  <w:style w:type="paragraph" w:customStyle="1" w:styleId="c5">
    <w:name w:val="c5"/>
    <w:basedOn w:val="Normal"/>
    <w:uiPriority w:val="99"/>
    <w:semiHidden/>
    <w:pPr>
      <w:spacing w:before="100" w:beforeAutospacing="1" w:after="100" w:afterAutospacing="1"/>
    </w:pPr>
    <w:rPr>
      <w:i/>
      <w:iCs/>
      <w:color w:val="000000"/>
      <w:sz w:val="22"/>
      <w:szCs w:val="22"/>
    </w:rPr>
  </w:style>
  <w:style w:type="paragraph" w:customStyle="1" w:styleId="c9">
    <w:name w:val="c9"/>
    <w:basedOn w:val="Normal"/>
    <w:uiPriority w:val="99"/>
    <w:semiHidden/>
    <w:pPr>
      <w:spacing w:before="100" w:beforeAutospacing="1" w:after="100" w:afterAutospacing="1"/>
    </w:pPr>
    <w:rPr>
      <w:b/>
      <w:bCs/>
      <w:color w:val="000000"/>
      <w:sz w:val="28"/>
      <w:szCs w:val="28"/>
    </w:rPr>
  </w:style>
  <w:style w:type="paragraph" w:customStyle="1" w:styleId="c14">
    <w:name w:val="c14"/>
    <w:basedOn w:val="Normal"/>
    <w:uiPriority w:val="99"/>
    <w:semiHidden/>
    <w:pPr>
      <w:spacing w:before="100" w:beforeAutospacing="1" w:after="100" w:afterAutospacing="1"/>
    </w:pPr>
    <w:rPr>
      <w:i/>
      <w:iCs/>
      <w:color w:val="333740"/>
      <w:sz w:val="22"/>
      <w:szCs w:val="22"/>
    </w:rPr>
  </w:style>
  <w:style w:type="paragraph" w:customStyle="1" w:styleId="c0">
    <w:name w:val="c0"/>
    <w:basedOn w:val="Normal"/>
    <w:uiPriority w:val="99"/>
    <w:semiHidden/>
    <w:pPr>
      <w:spacing w:before="100" w:beforeAutospacing="1" w:after="100" w:afterAutospacing="1"/>
    </w:pPr>
    <w:rPr>
      <w:color w:val="000000"/>
    </w:rPr>
  </w:style>
  <w:style w:type="paragraph" w:customStyle="1" w:styleId="c12">
    <w:name w:val="c12"/>
    <w:basedOn w:val="Normal"/>
    <w:uiPriority w:val="99"/>
    <w:semiHidden/>
    <w:pPr>
      <w:spacing w:before="100" w:beforeAutospacing="1" w:after="100" w:afterAutospacing="1"/>
    </w:pPr>
    <w:rPr>
      <w:i/>
      <w:iCs/>
      <w:color w:val="000000"/>
      <w:sz w:val="20"/>
      <w:szCs w:val="20"/>
    </w:rPr>
  </w:style>
  <w:style w:type="paragraph" w:customStyle="1" w:styleId="c8">
    <w:name w:val="c8"/>
    <w:basedOn w:val="Normal"/>
    <w:uiPriority w:val="99"/>
    <w:semiHidden/>
    <w:pPr>
      <w:spacing w:before="100" w:beforeAutospacing="1" w:after="100" w:afterAutospacing="1"/>
    </w:pPr>
    <w:rPr>
      <w:color w:val="000000"/>
      <w:sz w:val="22"/>
      <w:szCs w:val="22"/>
      <w:vertAlign w:val="superscript"/>
    </w:rPr>
  </w:style>
  <w:style w:type="paragraph" w:customStyle="1" w:styleId="c10">
    <w:name w:val="c10"/>
    <w:basedOn w:val="Normal"/>
    <w:uiPriority w:val="99"/>
    <w:semiHidden/>
    <w:pPr>
      <w:spacing w:before="100" w:beforeAutospacing="1" w:after="100" w:afterAutospacing="1"/>
    </w:pPr>
    <w:rPr>
      <w:rFonts w:ascii="Helvetica Neue" w:hAnsi="Helvetica Neue"/>
      <w:color w:val="000000"/>
    </w:rPr>
  </w:style>
  <w:style w:type="paragraph" w:customStyle="1" w:styleId="c17">
    <w:name w:val="c17"/>
    <w:basedOn w:val="Normal"/>
    <w:uiPriority w:val="99"/>
    <w:semiHidden/>
    <w:pPr>
      <w:spacing w:before="100" w:beforeAutospacing="1" w:after="100" w:afterAutospacing="1"/>
    </w:pPr>
    <w:rPr>
      <w:i/>
      <w:iCs/>
      <w:color w:val="000000"/>
      <w:sz w:val="48"/>
      <w:szCs w:val="48"/>
    </w:rPr>
  </w:style>
  <w:style w:type="paragraph" w:customStyle="1" w:styleId="c11">
    <w:name w:val="c11"/>
    <w:basedOn w:val="Normal"/>
    <w:uiPriority w:val="99"/>
    <w:semiHidden/>
    <w:pPr>
      <w:spacing w:before="100" w:beforeAutospacing="1" w:after="100" w:afterAutospacing="1"/>
    </w:pPr>
    <w:rPr>
      <w:b/>
      <w:bCs/>
      <w:color w:val="000000"/>
      <w:sz w:val="22"/>
      <w:szCs w:val="22"/>
    </w:rPr>
  </w:style>
  <w:style w:type="paragraph" w:customStyle="1" w:styleId="c18">
    <w:name w:val="c18"/>
    <w:basedOn w:val="Normal"/>
    <w:uiPriority w:val="99"/>
    <w:semiHidden/>
    <w:pPr>
      <w:spacing w:before="100" w:beforeAutospacing="1" w:after="100" w:afterAutospacing="1"/>
    </w:pPr>
    <w:rPr>
      <w:b/>
      <w:bCs/>
      <w:color w:val="000000"/>
      <w:sz w:val="20"/>
      <w:szCs w:val="20"/>
    </w:rPr>
  </w:style>
  <w:style w:type="paragraph" w:customStyle="1" w:styleId="c2">
    <w:name w:val="c2"/>
    <w:basedOn w:val="Normal"/>
    <w:uiPriority w:val="99"/>
    <w:semiHidden/>
    <w:pPr>
      <w:spacing w:before="100" w:beforeAutospacing="1" w:after="100" w:afterAutospacing="1"/>
    </w:pPr>
    <w:rPr>
      <w:color w:val="000000"/>
    </w:rPr>
  </w:style>
  <w:style w:type="paragraph" w:customStyle="1" w:styleId="c13">
    <w:name w:val="c13"/>
    <w:basedOn w:val="Normal"/>
    <w:uiPriority w:val="99"/>
    <w:semiHidden/>
    <w:pPr>
      <w:shd w:val="clear" w:color="auto" w:fill="FFFFFF"/>
      <w:spacing w:before="100" w:beforeAutospacing="1" w:after="100" w:afterAutospacing="1"/>
    </w:pPr>
    <w:rPr>
      <w:color w:val="000000"/>
    </w:rPr>
  </w:style>
  <w:style w:type="paragraph" w:customStyle="1" w:styleId="c16">
    <w:name w:val="c16"/>
    <w:basedOn w:val="Normal"/>
    <w:uiPriority w:val="99"/>
    <w:semiHidden/>
    <w:pPr>
      <w:spacing w:before="100" w:beforeAutospacing="1" w:after="100" w:afterAutospacing="1"/>
    </w:pPr>
    <w:rPr>
      <w:color w:val="000000"/>
    </w:rPr>
  </w:style>
  <w:style w:type="paragraph" w:customStyle="1" w:styleId="Ttulo10">
    <w:name w:val="Título1"/>
    <w:basedOn w:val="Normal"/>
    <w:uiPriority w:val="99"/>
    <w:semiHidden/>
    <w:pPr>
      <w:keepNext/>
      <w:spacing w:before="100" w:beforeAutospacing="1" w:after="100" w:afterAutospacing="1"/>
    </w:pPr>
    <w:rPr>
      <w:b/>
      <w:bCs/>
      <w:color w:val="000000"/>
      <w:sz w:val="72"/>
      <w:szCs w:val="72"/>
    </w:rPr>
  </w:style>
  <w:style w:type="paragraph" w:customStyle="1" w:styleId="Subttulo1">
    <w:name w:val="Subtítulo1"/>
    <w:basedOn w:val="Normal"/>
    <w:uiPriority w:val="99"/>
    <w:semiHidden/>
    <w:pPr>
      <w:keepNext/>
      <w:spacing w:before="100" w:beforeAutospacing="1" w:after="100" w:afterAutospacing="1"/>
    </w:pPr>
    <w:rPr>
      <w:rFonts w:ascii="Georgia" w:hAnsi="Georgia"/>
      <w:i/>
      <w:iCs/>
      <w:color w:val="666666"/>
      <w:sz w:val="48"/>
      <w:szCs w:val="48"/>
    </w:rPr>
  </w:style>
  <w:style w:type="paragraph" w:customStyle="1" w:styleId="Body">
    <w:name w:val="Body"/>
    <w:uiPriority w:val="99"/>
    <w:semiHidden/>
    <w:pPr>
      <w:spacing w:after="200" w:line="276" w:lineRule="auto"/>
    </w:pPr>
    <w:rPr>
      <w:rFonts w:ascii="Calibri" w:eastAsia="Arial Unicode MS"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c101">
    <w:name w:val="c101"/>
    <w:basedOn w:val="Fuentedeprrafopredeter"/>
    <w:rPr>
      <w:rFonts w:ascii="Helvetica Neue" w:hAnsi="Helvetica Neue" w:hint="default"/>
      <w:b w:val="0"/>
      <w:bCs w:val="0"/>
      <w:i w:val="0"/>
      <w:iCs w:val="0"/>
      <w:strike w:val="0"/>
      <w:dstrike w:val="0"/>
      <w:color w:val="000000"/>
      <w:sz w:val="24"/>
      <w:szCs w:val="24"/>
      <w:u w:val="none"/>
      <w:effect w:val="none"/>
      <w:vertAlign w:val="baseline"/>
    </w:rPr>
  </w:style>
  <w:style w:type="character" w:customStyle="1" w:styleId="c151">
    <w:name w:val="c151"/>
    <w:basedOn w:val="Fuentedeprrafopredeter"/>
    <w:rPr>
      <w:rFonts w:ascii="Times New Roman" w:hAnsi="Times New Roman" w:cs="Times New Roman" w:hint="default"/>
      <w:b w:val="0"/>
      <w:bCs w:val="0"/>
      <w:i w:val="0"/>
      <w:iCs w:val="0"/>
      <w:strike w:val="0"/>
      <w:dstrike w:val="0"/>
      <w:color w:val="000000"/>
      <w:sz w:val="24"/>
      <w:szCs w:val="24"/>
      <w:u w:val="none"/>
      <w:effect w:val="none"/>
      <w:vertAlign w:val="baseline"/>
    </w:rPr>
  </w:style>
  <w:style w:type="character" w:customStyle="1" w:styleId="c61">
    <w:name w:val="c61"/>
    <w:basedOn w:val="Fuentedeprrafopredeter"/>
    <w:rPr>
      <w:rFonts w:ascii="Times New Roman" w:hAnsi="Times New Roman" w:cs="Times New Roman" w:hint="default"/>
      <w:b w:val="0"/>
      <w:bCs w:val="0"/>
      <w:i w:val="0"/>
      <w:iCs w:val="0"/>
      <w:strike w:val="0"/>
      <w:dstrike w:val="0"/>
      <w:color w:val="000000"/>
      <w:sz w:val="48"/>
      <w:szCs w:val="48"/>
      <w:u w:val="none"/>
      <w:effect w:val="none"/>
      <w:vertAlign w:val="baseline"/>
    </w:rPr>
  </w:style>
  <w:style w:type="character" w:customStyle="1" w:styleId="c171">
    <w:name w:val="c171"/>
    <w:basedOn w:val="Fuentedeprrafopredeter"/>
    <w:rPr>
      <w:rFonts w:ascii="Times New Roman" w:hAnsi="Times New Roman" w:cs="Times New Roman" w:hint="default"/>
      <w:b w:val="0"/>
      <w:bCs w:val="0"/>
      <w:i/>
      <w:iCs/>
      <w:strike w:val="0"/>
      <w:dstrike w:val="0"/>
      <w:color w:val="000000"/>
      <w:sz w:val="48"/>
      <w:szCs w:val="48"/>
      <w:u w:val="none"/>
      <w:effect w:val="none"/>
      <w:vertAlign w:val="baseline"/>
    </w:rPr>
  </w:style>
  <w:style w:type="character" w:customStyle="1" w:styleId="c91">
    <w:name w:val="c91"/>
    <w:basedOn w:val="Fuentedeprrafopredeter"/>
    <w:rPr>
      <w:rFonts w:ascii="Times New Roman" w:hAnsi="Times New Roman" w:cs="Times New Roman" w:hint="default"/>
      <w:b/>
      <w:bCs/>
      <w:i w:val="0"/>
      <w:iCs w:val="0"/>
      <w:strike w:val="0"/>
      <w:dstrike w:val="0"/>
      <w:color w:val="000000"/>
      <w:sz w:val="28"/>
      <w:szCs w:val="28"/>
      <w:u w:val="none"/>
      <w:effect w:val="none"/>
      <w:vertAlign w:val="baseline"/>
    </w:rPr>
  </w:style>
  <w:style w:type="character" w:customStyle="1" w:styleId="c19">
    <w:name w:val="c19"/>
    <w:basedOn w:val="Fuentedeprrafopredeter"/>
    <w:rPr>
      <w:rFonts w:ascii="Times New Roman" w:hAnsi="Times New Roman" w:cs="Times New Roman" w:hint="default"/>
      <w:b w:val="0"/>
      <w:bCs w:val="0"/>
      <w:i w:val="0"/>
      <w:iCs w:val="0"/>
      <w:strike w:val="0"/>
      <w:dstrike w:val="0"/>
      <w:color w:val="000000"/>
      <w:sz w:val="22"/>
      <w:szCs w:val="22"/>
      <w:u w:val="none"/>
      <w:effect w:val="none"/>
      <w:vertAlign w:val="baseline"/>
    </w:rPr>
  </w:style>
  <w:style w:type="character" w:customStyle="1" w:styleId="c51">
    <w:name w:val="c51"/>
    <w:basedOn w:val="Fuentedeprrafopredeter"/>
    <w:rPr>
      <w:rFonts w:ascii="Times New Roman" w:hAnsi="Times New Roman" w:cs="Times New Roman" w:hint="default"/>
      <w:b w:val="0"/>
      <w:bCs w:val="0"/>
      <w:i/>
      <w:iCs/>
      <w:strike w:val="0"/>
      <w:dstrike w:val="0"/>
      <w:color w:val="000000"/>
      <w:sz w:val="22"/>
      <w:szCs w:val="22"/>
      <w:u w:val="none"/>
      <w:effect w:val="none"/>
      <w:vertAlign w:val="baseline"/>
    </w:rPr>
  </w:style>
  <w:style w:type="character" w:customStyle="1" w:styleId="c81">
    <w:name w:val="c81"/>
    <w:basedOn w:val="Fuentedeprrafopredeter"/>
    <w:rPr>
      <w:rFonts w:ascii="Times New Roman" w:hAnsi="Times New Roman" w:cs="Times New Roman" w:hint="default"/>
      <w:b w:val="0"/>
      <w:bCs w:val="0"/>
      <w:i w:val="0"/>
      <w:iCs w:val="0"/>
      <w:strike w:val="0"/>
      <w:dstrike w:val="0"/>
      <w:color w:val="000000"/>
      <w:sz w:val="22"/>
      <w:szCs w:val="22"/>
      <w:u w:val="none"/>
      <w:effect w:val="none"/>
      <w:vertAlign w:val="superscript"/>
    </w:rPr>
  </w:style>
  <w:style w:type="character" w:customStyle="1" w:styleId="c141">
    <w:name w:val="c141"/>
    <w:basedOn w:val="Fuentedeprrafopredeter"/>
    <w:rPr>
      <w:rFonts w:ascii="Times New Roman" w:hAnsi="Times New Roman" w:cs="Times New Roman" w:hint="default"/>
      <w:b w:val="0"/>
      <w:bCs w:val="0"/>
      <w:i/>
      <w:iCs/>
      <w:strike w:val="0"/>
      <w:dstrike w:val="0"/>
      <w:color w:val="333740"/>
      <w:sz w:val="22"/>
      <w:szCs w:val="22"/>
      <w:u w:val="none"/>
      <w:effect w:val="none"/>
      <w:vertAlign w:val="baseline"/>
    </w:rPr>
  </w:style>
  <w:style w:type="character" w:customStyle="1" w:styleId="c111">
    <w:name w:val="c111"/>
    <w:basedOn w:val="Fuentedeprrafopredeter"/>
    <w:rPr>
      <w:rFonts w:ascii="Times New Roman" w:hAnsi="Times New Roman" w:cs="Times New Roman" w:hint="default"/>
      <w:b/>
      <w:bCs/>
      <w:i w:val="0"/>
      <w:iCs w:val="0"/>
      <w:strike w:val="0"/>
      <w:dstrike w:val="0"/>
      <w:color w:val="000000"/>
      <w:sz w:val="22"/>
      <w:szCs w:val="22"/>
      <w:u w:val="none"/>
      <w:effect w:val="none"/>
      <w:vertAlign w:val="baseline"/>
    </w:rPr>
  </w:style>
  <w:style w:type="character" w:customStyle="1" w:styleId="c181">
    <w:name w:val="c181"/>
    <w:basedOn w:val="Fuentedeprrafopredeter"/>
    <w:rPr>
      <w:rFonts w:ascii="Times New Roman" w:hAnsi="Times New Roman" w:cs="Times New Roman" w:hint="default"/>
      <w:b/>
      <w:bCs/>
      <w:i w:val="0"/>
      <w:iCs w:val="0"/>
      <w:strike w:val="0"/>
      <w:dstrike w:val="0"/>
      <w:color w:val="000000"/>
      <w:sz w:val="20"/>
      <w:szCs w:val="20"/>
      <w:u w:val="none"/>
      <w:effect w:val="none"/>
      <w:vertAlign w:val="baseline"/>
    </w:rPr>
  </w:style>
  <w:style w:type="character" w:customStyle="1" w:styleId="c31">
    <w:name w:val="c31"/>
    <w:basedOn w:val="Fuentedeprrafopredeter"/>
    <w:rPr>
      <w:rFonts w:ascii="Times New Roman" w:hAnsi="Times New Roman" w:cs="Times New Roman" w:hint="default"/>
      <w:b w:val="0"/>
      <w:bCs w:val="0"/>
      <w:i w:val="0"/>
      <w:iCs w:val="0"/>
      <w:strike w:val="0"/>
      <w:dstrike w:val="0"/>
      <w:color w:val="000000"/>
      <w:sz w:val="20"/>
      <w:szCs w:val="20"/>
      <w:u w:val="none"/>
      <w:effect w:val="none"/>
      <w:vertAlign w:val="baseline"/>
    </w:rPr>
  </w:style>
  <w:style w:type="character" w:customStyle="1" w:styleId="c71">
    <w:name w:val="c71"/>
    <w:basedOn w:val="Fuentedeprrafopredeter"/>
    <w:rPr>
      <w:rFonts w:ascii="Times New Roman" w:hAnsi="Times New Roman" w:cs="Times New Roman" w:hint="default"/>
      <w:b w:val="0"/>
      <w:bCs w:val="0"/>
      <w:i w:val="0"/>
      <w:iCs w:val="0"/>
      <w:color w:val="000000"/>
      <w:sz w:val="20"/>
      <w:szCs w:val="20"/>
      <w:u w:val="single"/>
      <w:vertAlign w:val="baseline"/>
    </w:rPr>
  </w:style>
  <w:style w:type="character" w:customStyle="1" w:styleId="c121">
    <w:name w:val="c121"/>
    <w:basedOn w:val="Fuentedeprrafopredeter"/>
    <w:rPr>
      <w:rFonts w:ascii="Times New Roman" w:hAnsi="Times New Roman" w:cs="Times New Roman" w:hint="default"/>
      <w:b w:val="0"/>
      <w:bCs w:val="0"/>
      <w:i/>
      <w:iCs/>
      <w:strike w:val="0"/>
      <w:dstrike w:val="0"/>
      <w:color w:val="000000"/>
      <w:sz w:val="20"/>
      <w:szCs w:val="20"/>
      <w:u w:val="none"/>
      <w:effect w:val="none"/>
      <w:vertAlign w:val="baseline"/>
    </w:rPr>
  </w:style>
  <w:style w:type="paragraph" w:styleId="Textodeglobo">
    <w:name w:val="Balloon Text"/>
    <w:basedOn w:val="Normal"/>
    <w:link w:val="TextodegloboCar"/>
    <w:uiPriority w:val="99"/>
    <w:semiHidden/>
    <w:unhideWhenUsed/>
    <w:rsid w:val="00BC5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5D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keepNext/>
      <w:spacing w:before="100" w:beforeAutospacing="1" w:after="100" w:afterAutospacing="1"/>
      <w:outlineLvl w:val="0"/>
    </w:pPr>
    <w:rPr>
      <w:b/>
      <w:bCs/>
      <w:color w:val="000000"/>
      <w:kern w:val="36"/>
      <w:sz w:val="48"/>
      <w:szCs w:val="48"/>
    </w:rPr>
  </w:style>
  <w:style w:type="paragraph" w:styleId="Ttulo2">
    <w:name w:val="heading 2"/>
    <w:basedOn w:val="Normal"/>
    <w:link w:val="Ttulo2Car"/>
    <w:uiPriority w:val="9"/>
    <w:qFormat/>
    <w:pPr>
      <w:keepNext/>
      <w:spacing w:before="100" w:beforeAutospacing="1" w:after="100" w:afterAutospacing="1"/>
      <w:outlineLvl w:val="1"/>
    </w:pPr>
    <w:rPr>
      <w:b/>
      <w:bCs/>
      <w:color w:val="000000"/>
      <w:sz w:val="36"/>
      <w:szCs w:val="36"/>
    </w:rPr>
  </w:style>
  <w:style w:type="paragraph" w:styleId="Ttulo3">
    <w:name w:val="heading 3"/>
    <w:basedOn w:val="Normal"/>
    <w:link w:val="Ttulo3Car"/>
    <w:uiPriority w:val="9"/>
    <w:qFormat/>
    <w:pPr>
      <w:keepNext/>
      <w:spacing w:before="100" w:beforeAutospacing="1" w:after="100" w:afterAutospacing="1"/>
      <w:outlineLvl w:val="2"/>
    </w:pPr>
    <w:rPr>
      <w:b/>
      <w:bCs/>
      <w:color w:val="000000"/>
      <w:sz w:val="28"/>
      <w:szCs w:val="28"/>
    </w:rPr>
  </w:style>
  <w:style w:type="paragraph" w:styleId="Ttulo4">
    <w:name w:val="heading 4"/>
    <w:basedOn w:val="Normal"/>
    <w:link w:val="Ttulo4Car"/>
    <w:uiPriority w:val="9"/>
    <w:qFormat/>
    <w:pPr>
      <w:keepNext/>
      <w:spacing w:before="100" w:beforeAutospacing="1" w:after="100" w:afterAutospacing="1"/>
      <w:outlineLvl w:val="3"/>
    </w:pPr>
    <w:rPr>
      <w:b/>
      <w:bCs/>
      <w:color w:val="000000"/>
    </w:rPr>
  </w:style>
  <w:style w:type="paragraph" w:styleId="Ttulo5">
    <w:name w:val="heading 5"/>
    <w:basedOn w:val="Normal"/>
    <w:link w:val="Ttulo5Car"/>
    <w:uiPriority w:val="9"/>
    <w:qFormat/>
    <w:pPr>
      <w:keepNext/>
      <w:spacing w:before="100" w:beforeAutospacing="1" w:after="100" w:afterAutospacing="1"/>
      <w:outlineLvl w:val="4"/>
    </w:pPr>
    <w:rPr>
      <w:b/>
      <w:bCs/>
      <w:color w:val="000000"/>
      <w:sz w:val="22"/>
      <w:szCs w:val="22"/>
    </w:rPr>
  </w:style>
  <w:style w:type="paragraph" w:styleId="Ttulo6">
    <w:name w:val="heading 6"/>
    <w:basedOn w:val="Normal"/>
    <w:link w:val="Ttulo6Car"/>
    <w:uiPriority w:val="9"/>
    <w:qFormat/>
    <w:pPr>
      <w:keepNext/>
      <w:spacing w:before="100" w:beforeAutospacing="1" w:after="100" w:afterAutospacing="1"/>
      <w:outlineLvl w:val="5"/>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character" w:customStyle="1" w:styleId="Ttulo1Car">
    <w:name w:val="Título 1 Car"/>
    <w:basedOn w:val="Fuentedeprrafopredeter"/>
    <w:link w:val="Ttulo1"/>
    <w:uiPriority w:val="9"/>
    <w:locked/>
    <w:rPr>
      <w:rFonts w:asciiTheme="majorHAnsi" w:eastAsiaTheme="majorEastAsia" w:hAnsiTheme="majorHAnsi" w:cstheme="majorBidi" w:hint="default"/>
      <w:color w:val="2F5496" w:themeColor="accent1" w:themeShade="BF"/>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Ttulo3Car">
    <w:name w:val="Título 3 Car"/>
    <w:basedOn w:val="Fuentedeprrafopredeter"/>
    <w:link w:val="Ttulo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Ttulo4Car">
    <w:name w:val="Título 4 Car"/>
    <w:basedOn w:val="Fuentedeprrafopredeter"/>
    <w:link w:val="Ttulo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Ttulo5Car">
    <w:name w:val="Título 5 Car"/>
    <w:basedOn w:val="Fuentedeprrafopredeter"/>
    <w:link w:val="Ttulo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Ttulo6Car">
    <w:name w:val="Título 6 Car"/>
    <w:basedOn w:val="Fuentedeprrafopredeter"/>
    <w:link w:val="Ttulo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rPr>
      <w:color w:val="000000"/>
    </w:rPr>
  </w:style>
  <w:style w:type="paragraph" w:styleId="NormalWeb">
    <w:name w:val="Normal (Web)"/>
    <w:basedOn w:val="Normal"/>
    <w:uiPriority w:val="99"/>
    <w:semiHidden/>
    <w:unhideWhenUsed/>
    <w:rPr>
      <w:color w:val="000000"/>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locked/>
    <w:rPr>
      <w:rFonts w:ascii="Times New Roman" w:eastAsiaTheme="minorEastAsia" w:hAnsi="Times New Roman" w:cs="Times New Roman" w:hint="default"/>
      <w:sz w:val="24"/>
      <w:szCs w:val="24"/>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locked/>
    <w:rPr>
      <w:rFonts w:ascii="Times New Roman" w:eastAsiaTheme="minorEastAsia" w:hAnsi="Times New Roman" w:cs="Times New Roman" w:hint="default"/>
      <w:sz w:val="24"/>
      <w:szCs w:val="24"/>
    </w:rPr>
  </w:style>
  <w:style w:type="paragraph" w:customStyle="1" w:styleId="c7">
    <w:name w:val="c7"/>
    <w:basedOn w:val="Normal"/>
    <w:uiPriority w:val="99"/>
    <w:semiHidden/>
    <w:pPr>
      <w:spacing w:before="100" w:beforeAutospacing="1" w:after="100" w:afterAutospacing="1"/>
    </w:pPr>
    <w:rPr>
      <w:color w:val="000000"/>
      <w:sz w:val="20"/>
      <w:szCs w:val="20"/>
      <w:u w:val="single"/>
    </w:rPr>
  </w:style>
  <w:style w:type="paragraph" w:customStyle="1" w:styleId="c3">
    <w:name w:val="c3"/>
    <w:basedOn w:val="Normal"/>
    <w:uiPriority w:val="99"/>
    <w:semiHidden/>
    <w:pPr>
      <w:spacing w:before="100" w:beforeAutospacing="1" w:after="100" w:afterAutospacing="1"/>
    </w:pPr>
    <w:rPr>
      <w:color w:val="000000"/>
      <w:sz w:val="20"/>
      <w:szCs w:val="20"/>
    </w:rPr>
  </w:style>
  <w:style w:type="paragraph" w:customStyle="1" w:styleId="c1">
    <w:name w:val="c1"/>
    <w:basedOn w:val="Normal"/>
    <w:uiPriority w:val="99"/>
    <w:semiHidden/>
    <w:pPr>
      <w:spacing w:before="100" w:beforeAutospacing="1" w:after="100" w:afterAutospacing="1"/>
    </w:pPr>
    <w:rPr>
      <w:color w:val="000000"/>
      <w:sz w:val="22"/>
      <w:szCs w:val="22"/>
    </w:rPr>
  </w:style>
  <w:style w:type="paragraph" w:customStyle="1" w:styleId="c15">
    <w:name w:val="c15"/>
    <w:basedOn w:val="Normal"/>
    <w:uiPriority w:val="99"/>
    <w:semiHidden/>
    <w:pPr>
      <w:spacing w:before="100" w:beforeAutospacing="1" w:after="100" w:afterAutospacing="1"/>
    </w:pPr>
    <w:rPr>
      <w:color w:val="000000"/>
    </w:rPr>
  </w:style>
  <w:style w:type="paragraph" w:customStyle="1" w:styleId="c6">
    <w:name w:val="c6"/>
    <w:basedOn w:val="Normal"/>
    <w:uiPriority w:val="99"/>
    <w:semiHidden/>
    <w:pPr>
      <w:spacing w:before="100" w:beforeAutospacing="1" w:after="100" w:afterAutospacing="1"/>
    </w:pPr>
    <w:rPr>
      <w:color w:val="000000"/>
      <w:sz w:val="48"/>
      <w:szCs w:val="48"/>
    </w:rPr>
  </w:style>
  <w:style w:type="paragraph" w:customStyle="1" w:styleId="c5">
    <w:name w:val="c5"/>
    <w:basedOn w:val="Normal"/>
    <w:uiPriority w:val="99"/>
    <w:semiHidden/>
    <w:pPr>
      <w:spacing w:before="100" w:beforeAutospacing="1" w:after="100" w:afterAutospacing="1"/>
    </w:pPr>
    <w:rPr>
      <w:i/>
      <w:iCs/>
      <w:color w:val="000000"/>
      <w:sz w:val="22"/>
      <w:szCs w:val="22"/>
    </w:rPr>
  </w:style>
  <w:style w:type="paragraph" w:customStyle="1" w:styleId="c9">
    <w:name w:val="c9"/>
    <w:basedOn w:val="Normal"/>
    <w:uiPriority w:val="99"/>
    <w:semiHidden/>
    <w:pPr>
      <w:spacing w:before="100" w:beforeAutospacing="1" w:after="100" w:afterAutospacing="1"/>
    </w:pPr>
    <w:rPr>
      <w:b/>
      <w:bCs/>
      <w:color w:val="000000"/>
      <w:sz w:val="28"/>
      <w:szCs w:val="28"/>
    </w:rPr>
  </w:style>
  <w:style w:type="paragraph" w:customStyle="1" w:styleId="c14">
    <w:name w:val="c14"/>
    <w:basedOn w:val="Normal"/>
    <w:uiPriority w:val="99"/>
    <w:semiHidden/>
    <w:pPr>
      <w:spacing w:before="100" w:beforeAutospacing="1" w:after="100" w:afterAutospacing="1"/>
    </w:pPr>
    <w:rPr>
      <w:i/>
      <w:iCs/>
      <w:color w:val="333740"/>
      <w:sz w:val="22"/>
      <w:szCs w:val="22"/>
    </w:rPr>
  </w:style>
  <w:style w:type="paragraph" w:customStyle="1" w:styleId="c0">
    <w:name w:val="c0"/>
    <w:basedOn w:val="Normal"/>
    <w:uiPriority w:val="99"/>
    <w:semiHidden/>
    <w:pPr>
      <w:spacing w:before="100" w:beforeAutospacing="1" w:after="100" w:afterAutospacing="1"/>
    </w:pPr>
    <w:rPr>
      <w:color w:val="000000"/>
    </w:rPr>
  </w:style>
  <w:style w:type="paragraph" w:customStyle="1" w:styleId="c12">
    <w:name w:val="c12"/>
    <w:basedOn w:val="Normal"/>
    <w:uiPriority w:val="99"/>
    <w:semiHidden/>
    <w:pPr>
      <w:spacing w:before="100" w:beforeAutospacing="1" w:after="100" w:afterAutospacing="1"/>
    </w:pPr>
    <w:rPr>
      <w:i/>
      <w:iCs/>
      <w:color w:val="000000"/>
      <w:sz w:val="20"/>
      <w:szCs w:val="20"/>
    </w:rPr>
  </w:style>
  <w:style w:type="paragraph" w:customStyle="1" w:styleId="c8">
    <w:name w:val="c8"/>
    <w:basedOn w:val="Normal"/>
    <w:uiPriority w:val="99"/>
    <w:semiHidden/>
    <w:pPr>
      <w:spacing w:before="100" w:beforeAutospacing="1" w:after="100" w:afterAutospacing="1"/>
    </w:pPr>
    <w:rPr>
      <w:color w:val="000000"/>
      <w:sz w:val="22"/>
      <w:szCs w:val="22"/>
      <w:vertAlign w:val="superscript"/>
    </w:rPr>
  </w:style>
  <w:style w:type="paragraph" w:customStyle="1" w:styleId="c10">
    <w:name w:val="c10"/>
    <w:basedOn w:val="Normal"/>
    <w:uiPriority w:val="99"/>
    <w:semiHidden/>
    <w:pPr>
      <w:spacing w:before="100" w:beforeAutospacing="1" w:after="100" w:afterAutospacing="1"/>
    </w:pPr>
    <w:rPr>
      <w:rFonts w:ascii="Helvetica Neue" w:hAnsi="Helvetica Neue"/>
      <w:color w:val="000000"/>
    </w:rPr>
  </w:style>
  <w:style w:type="paragraph" w:customStyle="1" w:styleId="c17">
    <w:name w:val="c17"/>
    <w:basedOn w:val="Normal"/>
    <w:uiPriority w:val="99"/>
    <w:semiHidden/>
    <w:pPr>
      <w:spacing w:before="100" w:beforeAutospacing="1" w:after="100" w:afterAutospacing="1"/>
    </w:pPr>
    <w:rPr>
      <w:i/>
      <w:iCs/>
      <w:color w:val="000000"/>
      <w:sz w:val="48"/>
      <w:szCs w:val="48"/>
    </w:rPr>
  </w:style>
  <w:style w:type="paragraph" w:customStyle="1" w:styleId="c11">
    <w:name w:val="c11"/>
    <w:basedOn w:val="Normal"/>
    <w:uiPriority w:val="99"/>
    <w:semiHidden/>
    <w:pPr>
      <w:spacing w:before="100" w:beforeAutospacing="1" w:after="100" w:afterAutospacing="1"/>
    </w:pPr>
    <w:rPr>
      <w:b/>
      <w:bCs/>
      <w:color w:val="000000"/>
      <w:sz w:val="22"/>
      <w:szCs w:val="22"/>
    </w:rPr>
  </w:style>
  <w:style w:type="paragraph" w:customStyle="1" w:styleId="c18">
    <w:name w:val="c18"/>
    <w:basedOn w:val="Normal"/>
    <w:uiPriority w:val="99"/>
    <w:semiHidden/>
    <w:pPr>
      <w:spacing w:before="100" w:beforeAutospacing="1" w:after="100" w:afterAutospacing="1"/>
    </w:pPr>
    <w:rPr>
      <w:b/>
      <w:bCs/>
      <w:color w:val="000000"/>
      <w:sz w:val="20"/>
      <w:szCs w:val="20"/>
    </w:rPr>
  </w:style>
  <w:style w:type="paragraph" w:customStyle="1" w:styleId="c2">
    <w:name w:val="c2"/>
    <w:basedOn w:val="Normal"/>
    <w:uiPriority w:val="99"/>
    <w:semiHidden/>
    <w:pPr>
      <w:spacing w:before="100" w:beforeAutospacing="1" w:after="100" w:afterAutospacing="1"/>
    </w:pPr>
    <w:rPr>
      <w:color w:val="000000"/>
    </w:rPr>
  </w:style>
  <w:style w:type="paragraph" w:customStyle="1" w:styleId="c13">
    <w:name w:val="c13"/>
    <w:basedOn w:val="Normal"/>
    <w:uiPriority w:val="99"/>
    <w:semiHidden/>
    <w:pPr>
      <w:shd w:val="clear" w:color="auto" w:fill="FFFFFF"/>
      <w:spacing w:before="100" w:beforeAutospacing="1" w:after="100" w:afterAutospacing="1"/>
    </w:pPr>
    <w:rPr>
      <w:color w:val="000000"/>
    </w:rPr>
  </w:style>
  <w:style w:type="paragraph" w:customStyle="1" w:styleId="c16">
    <w:name w:val="c16"/>
    <w:basedOn w:val="Normal"/>
    <w:uiPriority w:val="99"/>
    <w:semiHidden/>
    <w:pPr>
      <w:spacing w:before="100" w:beforeAutospacing="1" w:after="100" w:afterAutospacing="1"/>
    </w:pPr>
    <w:rPr>
      <w:color w:val="000000"/>
    </w:rPr>
  </w:style>
  <w:style w:type="paragraph" w:customStyle="1" w:styleId="Ttulo10">
    <w:name w:val="Título1"/>
    <w:basedOn w:val="Normal"/>
    <w:uiPriority w:val="99"/>
    <w:semiHidden/>
    <w:pPr>
      <w:keepNext/>
      <w:spacing w:before="100" w:beforeAutospacing="1" w:after="100" w:afterAutospacing="1"/>
    </w:pPr>
    <w:rPr>
      <w:b/>
      <w:bCs/>
      <w:color w:val="000000"/>
      <w:sz w:val="72"/>
      <w:szCs w:val="72"/>
    </w:rPr>
  </w:style>
  <w:style w:type="paragraph" w:customStyle="1" w:styleId="Subttulo1">
    <w:name w:val="Subtítulo1"/>
    <w:basedOn w:val="Normal"/>
    <w:uiPriority w:val="99"/>
    <w:semiHidden/>
    <w:pPr>
      <w:keepNext/>
      <w:spacing w:before="100" w:beforeAutospacing="1" w:after="100" w:afterAutospacing="1"/>
    </w:pPr>
    <w:rPr>
      <w:rFonts w:ascii="Georgia" w:hAnsi="Georgia"/>
      <w:i/>
      <w:iCs/>
      <w:color w:val="666666"/>
      <w:sz w:val="48"/>
      <w:szCs w:val="48"/>
    </w:rPr>
  </w:style>
  <w:style w:type="paragraph" w:customStyle="1" w:styleId="Body">
    <w:name w:val="Body"/>
    <w:uiPriority w:val="99"/>
    <w:semiHidden/>
    <w:pPr>
      <w:spacing w:after="200" w:line="276" w:lineRule="auto"/>
    </w:pPr>
    <w:rPr>
      <w:rFonts w:ascii="Calibri" w:eastAsia="Arial Unicode MS"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c101">
    <w:name w:val="c101"/>
    <w:basedOn w:val="Fuentedeprrafopredeter"/>
    <w:rPr>
      <w:rFonts w:ascii="Helvetica Neue" w:hAnsi="Helvetica Neue" w:hint="default"/>
      <w:b w:val="0"/>
      <w:bCs w:val="0"/>
      <w:i w:val="0"/>
      <w:iCs w:val="0"/>
      <w:strike w:val="0"/>
      <w:dstrike w:val="0"/>
      <w:color w:val="000000"/>
      <w:sz w:val="24"/>
      <w:szCs w:val="24"/>
      <w:u w:val="none"/>
      <w:effect w:val="none"/>
      <w:vertAlign w:val="baseline"/>
    </w:rPr>
  </w:style>
  <w:style w:type="character" w:customStyle="1" w:styleId="c151">
    <w:name w:val="c151"/>
    <w:basedOn w:val="Fuentedeprrafopredeter"/>
    <w:rPr>
      <w:rFonts w:ascii="Times New Roman" w:hAnsi="Times New Roman" w:cs="Times New Roman" w:hint="default"/>
      <w:b w:val="0"/>
      <w:bCs w:val="0"/>
      <w:i w:val="0"/>
      <w:iCs w:val="0"/>
      <w:strike w:val="0"/>
      <w:dstrike w:val="0"/>
      <w:color w:val="000000"/>
      <w:sz w:val="24"/>
      <w:szCs w:val="24"/>
      <w:u w:val="none"/>
      <w:effect w:val="none"/>
      <w:vertAlign w:val="baseline"/>
    </w:rPr>
  </w:style>
  <w:style w:type="character" w:customStyle="1" w:styleId="c61">
    <w:name w:val="c61"/>
    <w:basedOn w:val="Fuentedeprrafopredeter"/>
    <w:rPr>
      <w:rFonts w:ascii="Times New Roman" w:hAnsi="Times New Roman" w:cs="Times New Roman" w:hint="default"/>
      <w:b w:val="0"/>
      <w:bCs w:val="0"/>
      <w:i w:val="0"/>
      <w:iCs w:val="0"/>
      <w:strike w:val="0"/>
      <w:dstrike w:val="0"/>
      <w:color w:val="000000"/>
      <w:sz w:val="48"/>
      <w:szCs w:val="48"/>
      <w:u w:val="none"/>
      <w:effect w:val="none"/>
      <w:vertAlign w:val="baseline"/>
    </w:rPr>
  </w:style>
  <w:style w:type="character" w:customStyle="1" w:styleId="c171">
    <w:name w:val="c171"/>
    <w:basedOn w:val="Fuentedeprrafopredeter"/>
    <w:rPr>
      <w:rFonts w:ascii="Times New Roman" w:hAnsi="Times New Roman" w:cs="Times New Roman" w:hint="default"/>
      <w:b w:val="0"/>
      <w:bCs w:val="0"/>
      <w:i/>
      <w:iCs/>
      <w:strike w:val="0"/>
      <w:dstrike w:val="0"/>
      <w:color w:val="000000"/>
      <w:sz w:val="48"/>
      <w:szCs w:val="48"/>
      <w:u w:val="none"/>
      <w:effect w:val="none"/>
      <w:vertAlign w:val="baseline"/>
    </w:rPr>
  </w:style>
  <w:style w:type="character" w:customStyle="1" w:styleId="c91">
    <w:name w:val="c91"/>
    <w:basedOn w:val="Fuentedeprrafopredeter"/>
    <w:rPr>
      <w:rFonts w:ascii="Times New Roman" w:hAnsi="Times New Roman" w:cs="Times New Roman" w:hint="default"/>
      <w:b/>
      <w:bCs/>
      <w:i w:val="0"/>
      <w:iCs w:val="0"/>
      <w:strike w:val="0"/>
      <w:dstrike w:val="0"/>
      <w:color w:val="000000"/>
      <w:sz w:val="28"/>
      <w:szCs w:val="28"/>
      <w:u w:val="none"/>
      <w:effect w:val="none"/>
      <w:vertAlign w:val="baseline"/>
    </w:rPr>
  </w:style>
  <w:style w:type="character" w:customStyle="1" w:styleId="c19">
    <w:name w:val="c19"/>
    <w:basedOn w:val="Fuentedeprrafopredeter"/>
    <w:rPr>
      <w:rFonts w:ascii="Times New Roman" w:hAnsi="Times New Roman" w:cs="Times New Roman" w:hint="default"/>
      <w:b w:val="0"/>
      <w:bCs w:val="0"/>
      <w:i w:val="0"/>
      <w:iCs w:val="0"/>
      <w:strike w:val="0"/>
      <w:dstrike w:val="0"/>
      <w:color w:val="000000"/>
      <w:sz w:val="22"/>
      <w:szCs w:val="22"/>
      <w:u w:val="none"/>
      <w:effect w:val="none"/>
      <w:vertAlign w:val="baseline"/>
    </w:rPr>
  </w:style>
  <w:style w:type="character" w:customStyle="1" w:styleId="c51">
    <w:name w:val="c51"/>
    <w:basedOn w:val="Fuentedeprrafopredeter"/>
    <w:rPr>
      <w:rFonts w:ascii="Times New Roman" w:hAnsi="Times New Roman" w:cs="Times New Roman" w:hint="default"/>
      <w:b w:val="0"/>
      <w:bCs w:val="0"/>
      <w:i/>
      <w:iCs/>
      <w:strike w:val="0"/>
      <w:dstrike w:val="0"/>
      <w:color w:val="000000"/>
      <w:sz w:val="22"/>
      <w:szCs w:val="22"/>
      <w:u w:val="none"/>
      <w:effect w:val="none"/>
      <w:vertAlign w:val="baseline"/>
    </w:rPr>
  </w:style>
  <w:style w:type="character" w:customStyle="1" w:styleId="c81">
    <w:name w:val="c81"/>
    <w:basedOn w:val="Fuentedeprrafopredeter"/>
    <w:rPr>
      <w:rFonts w:ascii="Times New Roman" w:hAnsi="Times New Roman" w:cs="Times New Roman" w:hint="default"/>
      <w:b w:val="0"/>
      <w:bCs w:val="0"/>
      <w:i w:val="0"/>
      <w:iCs w:val="0"/>
      <w:strike w:val="0"/>
      <w:dstrike w:val="0"/>
      <w:color w:val="000000"/>
      <w:sz w:val="22"/>
      <w:szCs w:val="22"/>
      <w:u w:val="none"/>
      <w:effect w:val="none"/>
      <w:vertAlign w:val="superscript"/>
    </w:rPr>
  </w:style>
  <w:style w:type="character" w:customStyle="1" w:styleId="c141">
    <w:name w:val="c141"/>
    <w:basedOn w:val="Fuentedeprrafopredeter"/>
    <w:rPr>
      <w:rFonts w:ascii="Times New Roman" w:hAnsi="Times New Roman" w:cs="Times New Roman" w:hint="default"/>
      <w:b w:val="0"/>
      <w:bCs w:val="0"/>
      <w:i/>
      <w:iCs/>
      <w:strike w:val="0"/>
      <w:dstrike w:val="0"/>
      <w:color w:val="333740"/>
      <w:sz w:val="22"/>
      <w:szCs w:val="22"/>
      <w:u w:val="none"/>
      <w:effect w:val="none"/>
      <w:vertAlign w:val="baseline"/>
    </w:rPr>
  </w:style>
  <w:style w:type="character" w:customStyle="1" w:styleId="c111">
    <w:name w:val="c111"/>
    <w:basedOn w:val="Fuentedeprrafopredeter"/>
    <w:rPr>
      <w:rFonts w:ascii="Times New Roman" w:hAnsi="Times New Roman" w:cs="Times New Roman" w:hint="default"/>
      <w:b/>
      <w:bCs/>
      <w:i w:val="0"/>
      <w:iCs w:val="0"/>
      <w:strike w:val="0"/>
      <w:dstrike w:val="0"/>
      <w:color w:val="000000"/>
      <w:sz w:val="22"/>
      <w:szCs w:val="22"/>
      <w:u w:val="none"/>
      <w:effect w:val="none"/>
      <w:vertAlign w:val="baseline"/>
    </w:rPr>
  </w:style>
  <w:style w:type="character" w:customStyle="1" w:styleId="c181">
    <w:name w:val="c181"/>
    <w:basedOn w:val="Fuentedeprrafopredeter"/>
    <w:rPr>
      <w:rFonts w:ascii="Times New Roman" w:hAnsi="Times New Roman" w:cs="Times New Roman" w:hint="default"/>
      <w:b/>
      <w:bCs/>
      <w:i w:val="0"/>
      <w:iCs w:val="0"/>
      <w:strike w:val="0"/>
      <w:dstrike w:val="0"/>
      <w:color w:val="000000"/>
      <w:sz w:val="20"/>
      <w:szCs w:val="20"/>
      <w:u w:val="none"/>
      <w:effect w:val="none"/>
      <w:vertAlign w:val="baseline"/>
    </w:rPr>
  </w:style>
  <w:style w:type="character" w:customStyle="1" w:styleId="c31">
    <w:name w:val="c31"/>
    <w:basedOn w:val="Fuentedeprrafopredeter"/>
    <w:rPr>
      <w:rFonts w:ascii="Times New Roman" w:hAnsi="Times New Roman" w:cs="Times New Roman" w:hint="default"/>
      <w:b w:val="0"/>
      <w:bCs w:val="0"/>
      <w:i w:val="0"/>
      <w:iCs w:val="0"/>
      <w:strike w:val="0"/>
      <w:dstrike w:val="0"/>
      <w:color w:val="000000"/>
      <w:sz w:val="20"/>
      <w:szCs w:val="20"/>
      <w:u w:val="none"/>
      <w:effect w:val="none"/>
      <w:vertAlign w:val="baseline"/>
    </w:rPr>
  </w:style>
  <w:style w:type="character" w:customStyle="1" w:styleId="c71">
    <w:name w:val="c71"/>
    <w:basedOn w:val="Fuentedeprrafopredeter"/>
    <w:rPr>
      <w:rFonts w:ascii="Times New Roman" w:hAnsi="Times New Roman" w:cs="Times New Roman" w:hint="default"/>
      <w:b w:val="0"/>
      <w:bCs w:val="0"/>
      <w:i w:val="0"/>
      <w:iCs w:val="0"/>
      <w:color w:val="000000"/>
      <w:sz w:val="20"/>
      <w:szCs w:val="20"/>
      <w:u w:val="single"/>
      <w:vertAlign w:val="baseline"/>
    </w:rPr>
  </w:style>
  <w:style w:type="character" w:customStyle="1" w:styleId="c121">
    <w:name w:val="c121"/>
    <w:basedOn w:val="Fuentedeprrafopredeter"/>
    <w:rPr>
      <w:rFonts w:ascii="Times New Roman" w:hAnsi="Times New Roman" w:cs="Times New Roman" w:hint="default"/>
      <w:b w:val="0"/>
      <w:bCs w:val="0"/>
      <w:i/>
      <w:iCs/>
      <w:strike w:val="0"/>
      <w:dstrike w:val="0"/>
      <w:color w:val="000000"/>
      <w:sz w:val="20"/>
      <w:szCs w:val="20"/>
      <w:u w:val="none"/>
      <w:effect w:val="none"/>
      <w:vertAlign w:val="baseline"/>
    </w:rPr>
  </w:style>
  <w:style w:type="paragraph" w:styleId="Textodeglobo">
    <w:name w:val="Balloon Text"/>
    <w:basedOn w:val="Normal"/>
    <w:link w:val="TextodegloboCar"/>
    <w:uiPriority w:val="99"/>
    <w:semiHidden/>
    <w:unhideWhenUsed/>
    <w:rsid w:val="00BC5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5D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9380">
      <w:marLeft w:val="0"/>
      <w:marRight w:val="0"/>
      <w:marTop w:val="0"/>
      <w:marBottom w:val="0"/>
      <w:divBdr>
        <w:top w:val="none" w:sz="0" w:space="0" w:color="auto"/>
        <w:left w:val="none" w:sz="0" w:space="0" w:color="auto"/>
        <w:bottom w:val="none" w:sz="0" w:space="0" w:color="auto"/>
        <w:right w:val="none" w:sz="0" w:space="0" w:color="auto"/>
      </w:divBdr>
    </w:div>
    <w:div w:id="315229110">
      <w:marLeft w:val="0"/>
      <w:marRight w:val="0"/>
      <w:marTop w:val="0"/>
      <w:marBottom w:val="0"/>
      <w:divBdr>
        <w:top w:val="none" w:sz="0" w:space="0" w:color="auto"/>
        <w:left w:val="none" w:sz="0" w:space="0" w:color="auto"/>
        <w:bottom w:val="none" w:sz="0" w:space="0" w:color="auto"/>
        <w:right w:val="none" w:sz="0" w:space="0" w:color="auto"/>
      </w:divBdr>
    </w:div>
    <w:div w:id="435713840">
      <w:marLeft w:val="0"/>
      <w:marRight w:val="0"/>
      <w:marTop w:val="0"/>
      <w:marBottom w:val="0"/>
      <w:divBdr>
        <w:top w:val="none" w:sz="0" w:space="0" w:color="auto"/>
        <w:left w:val="none" w:sz="0" w:space="0" w:color="auto"/>
        <w:bottom w:val="none" w:sz="0" w:space="0" w:color="auto"/>
        <w:right w:val="none" w:sz="0" w:space="0" w:color="auto"/>
      </w:divBdr>
    </w:div>
    <w:div w:id="783187537">
      <w:marLeft w:val="0"/>
      <w:marRight w:val="0"/>
      <w:marTop w:val="0"/>
      <w:marBottom w:val="0"/>
      <w:divBdr>
        <w:top w:val="none" w:sz="0" w:space="0" w:color="auto"/>
        <w:left w:val="none" w:sz="0" w:space="0" w:color="auto"/>
        <w:bottom w:val="none" w:sz="0" w:space="0" w:color="auto"/>
        <w:right w:val="none" w:sz="0" w:space="0" w:color="auto"/>
      </w:divBdr>
    </w:div>
    <w:div w:id="786047966">
      <w:marLeft w:val="0"/>
      <w:marRight w:val="0"/>
      <w:marTop w:val="0"/>
      <w:marBottom w:val="0"/>
      <w:divBdr>
        <w:top w:val="none" w:sz="0" w:space="0" w:color="auto"/>
        <w:left w:val="none" w:sz="0" w:space="0" w:color="auto"/>
        <w:bottom w:val="none" w:sz="0" w:space="0" w:color="auto"/>
        <w:right w:val="none" w:sz="0" w:space="0" w:color="auto"/>
      </w:divBdr>
    </w:div>
    <w:div w:id="800613801">
      <w:marLeft w:val="0"/>
      <w:marRight w:val="0"/>
      <w:marTop w:val="0"/>
      <w:marBottom w:val="0"/>
      <w:divBdr>
        <w:top w:val="none" w:sz="0" w:space="0" w:color="auto"/>
        <w:left w:val="none" w:sz="0" w:space="0" w:color="auto"/>
        <w:bottom w:val="none" w:sz="0" w:space="0" w:color="auto"/>
        <w:right w:val="none" w:sz="0" w:space="0" w:color="auto"/>
      </w:divBdr>
    </w:div>
    <w:div w:id="1005670004">
      <w:marLeft w:val="0"/>
      <w:marRight w:val="0"/>
      <w:marTop w:val="0"/>
      <w:marBottom w:val="0"/>
      <w:divBdr>
        <w:top w:val="none" w:sz="0" w:space="0" w:color="auto"/>
        <w:left w:val="none" w:sz="0" w:space="0" w:color="auto"/>
        <w:bottom w:val="none" w:sz="0" w:space="0" w:color="auto"/>
        <w:right w:val="none" w:sz="0" w:space="0" w:color="auto"/>
      </w:divBdr>
    </w:div>
    <w:div w:id="1020739862">
      <w:marLeft w:val="0"/>
      <w:marRight w:val="0"/>
      <w:marTop w:val="0"/>
      <w:marBottom w:val="0"/>
      <w:divBdr>
        <w:top w:val="none" w:sz="0" w:space="0" w:color="auto"/>
        <w:left w:val="none" w:sz="0" w:space="0" w:color="auto"/>
        <w:bottom w:val="none" w:sz="0" w:space="0" w:color="auto"/>
        <w:right w:val="none" w:sz="0" w:space="0" w:color="auto"/>
      </w:divBdr>
    </w:div>
    <w:div w:id="1170176451">
      <w:marLeft w:val="0"/>
      <w:marRight w:val="0"/>
      <w:marTop w:val="0"/>
      <w:marBottom w:val="0"/>
      <w:divBdr>
        <w:top w:val="none" w:sz="0" w:space="0" w:color="auto"/>
        <w:left w:val="none" w:sz="0" w:space="0" w:color="auto"/>
        <w:bottom w:val="none" w:sz="0" w:space="0" w:color="auto"/>
        <w:right w:val="none" w:sz="0" w:space="0" w:color="auto"/>
      </w:divBdr>
    </w:div>
    <w:div w:id="1219635945">
      <w:marLeft w:val="0"/>
      <w:marRight w:val="0"/>
      <w:marTop w:val="0"/>
      <w:marBottom w:val="0"/>
      <w:divBdr>
        <w:top w:val="none" w:sz="0" w:space="0" w:color="auto"/>
        <w:left w:val="none" w:sz="0" w:space="0" w:color="auto"/>
        <w:bottom w:val="none" w:sz="0" w:space="0" w:color="auto"/>
        <w:right w:val="none" w:sz="0" w:space="0" w:color="auto"/>
      </w:divBdr>
    </w:div>
    <w:div w:id="1462650925">
      <w:marLeft w:val="0"/>
      <w:marRight w:val="0"/>
      <w:marTop w:val="0"/>
      <w:marBottom w:val="0"/>
      <w:divBdr>
        <w:top w:val="none" w:sz="0" w:space="0" w:color="auto"/>
        <w:left w:val="none" w:sz="0" w:space="0" w:color="auto"/>
        <w:bottom w:val="none" w:sz="0" w:space="0" w:color="auto"/>
        <w:right w:val="none" w:sz="0" w:space="0" w:color="auto"/>
      </w:divBdr>
    </w:div>
    <w:div w:id="1513760301">
      <w:marLeft w:val="0"/>
      <w:marRight w:val="0"/>
      <w:marTop w:val="0"/>
      <w:marBottom w:val="0"/>
      <w:divBdr>
        <w:top w:val="none" w:sz="0" w:space="0" w:color="auto"/>
        <w:left w:val="none" w:sz="0" w:space="0" w:color="auto"/>
        <w:bottom w:val="none" w:sz="0" w:space="0" w:color="auto"/>
        <w:right w:val="none" w:sz="0" w:space="0" w:color="auto"/>
      </w:divBdr>
    </w:div>
    <w:div w:id="1564290681">
      <w:marLeft w:val="0"/>
      <w:marRight w:val="0"/>
      <w:marTop w:val="0"/>
      <w:marBottom w:val="0"/>
      <w:divBdr>
        <w:top w:val="none" w:sz="0" w:space="0" w:color="auto"/>
        <w:left w:val="none" w:sz="0" w:space="0" w:color="auto"/>
        <w:bottom w:val="none" w:sz="0" w:space="0" w:color="auto"/>
        <w:right w:val="none" w:sz="0" w:space="0" w:color="auto"/>
      </w:divBdr>
    </w:div>
    <w:div w:id="1581207690">
      <w:marLeft w:val="0"/>
      <w:marRight w:val="0"/>
      <w:marTop w:val="0"/>
      <w:marBottom w:val="0"/>
      <w:divBdr>
        <w:top w:val="none" w:sz="0" w:space="0" w:color="auto"/>
        <w:left w:val="none" w:sz="0" w:space="0" w:color="auto"/>
        <w:bottom w:val="none" w:sz="0" w:space="0" w:color="auto"/>
        <w:right w:val="none" w:sz="0" w:space="0" w:color="auto"/>
      </w:divBdr>
    </w:div>
    <w:div w:id="1754356490">
      <w:marLeft w:val="0"/>
      <w:marRight w:val="0"/>
      <w:marTop w:val="0"/>
      <w:marBottom w:val="0"/>
      <w:divBdr>
        <w:top w:val="none" w:sz="0" w:space="0" w:color="auto"/>
        <w:left w:val="none" w:sz="0" w:space="0" w:color="auto"/>
        <w:bottom w:val="none" w:sz="0" w:space="0" w:color="auto"/>
        <w:right w:val="none" w:sz="0" w:space="0" w:color="auto"/>
      </w:divBdr>
    </w:div>
    <w:div w:id="21025289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hsj.org/public-health-and-social-justice-reader/" TargetMode="External"/><Relationship Id="rId18" Type="http://schemas.openxmlformats.org/officeDocument/2006/relationships/hyperlink" Target="https://www.kboo.fm/program/prescription-justice" TargetMode="External"/><Relationship Id="rId26" Type="http://schemas.openxmlformats.org/officeDocument/2006/relationships/hyperlink" Target="https://www.google.com/url?q=https://www.npr.org/sections/health-shots/2022/07/18/1111766924/conservative-bloc-litigation&amp;sa=D&amp;source=editors&amp;ust=1679029592364197&amp;usg=AOvVaw1L7zIo9YkGk22geCiICO9y" TargetMode="External"/><Relationship Id="rId3" Type="http://schemas.microsoft.com/office/2007/relationships/stylesWithEffects" Target="stylesWithEffects.xml"/><Relationship Id="rId21" Type="http://schemas.openxmlformats.org/officeDocument/2006/relationships/hyperlink" Target="https://www.google.com/url?q=https://jamanetwork.com/journals/jamainternalmedicine/fullarticle/2793700&amp;sa=D&amp;source=editors&amp;ust=1679029592362064&amp;usg=AOvVaw2JfQRh06lIxGO6EwdywXi3" TargetMode="External"/><Relationship Id="rId34" Type="http://schemas.openxmlformats.org/officeDocument/2006/relationships/hyperlink" Target="https://www.google.com/url?q=http://ajph.aphapublications.org/toc/ajph/104/6&amp;sa=D&amp;source=editors&amp;ust=1679029592367721&amp;usg=AOvVaw2JRkel8DpeEkrrURHrdCKM" TargetMode="External"/><Relationship Id="rId7" Type="http://schemas.openxmlformats.org/officeDocument/2006/relationships/endnotes" Target="endnotes.xml"/><Relationship Id="rId12" Type="http://schemas.openxmlformats.org/officeDocument/2006/relationships/hyperlink" Target="https://www.kboo.fm/program/prescription-justice" TargetMode="External"/><Relationship Id="rId17" Type="http://schemas.openxmlformats.org/officeDocument/2006/relationships/hyperlink" Target="https://www.youtube.com/channel/UCJt34I9c5vT2RpZtkg6Im2A/videos" TargetMode="External"/><Relationship Id="rId25" Type="http://schemas.openxmlformats.org/officeDocument/2006/relationships/hyperlink" Target="https://www.google.com/url?q=https://www.medicinasocial.info/index.php/medicinasocial/article/view/1147&amp;sa=D&amp;source=editors&amp;ust=1679029592363829&amp;usg=AOvVaw3I0HSpEXroolOiv-wOyppw" TargetMode="External"/><Relationship Id="rId33" Type="http://schemas.openxmlformats.org/officeDocument/2006/relationships/hyperlink" Target="https://www.google.com/url?q=https://reproductiverights.org/the-womens-health-protection-act-federal-legislation-to-protect-the-right-to-access-abortion-care/&amp;sa=D&amp;source=editors&amp;ust=1679029592366776&amp;usg=AOvVaw3FW3Mt1o2OyCS36aW-9R2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hsj.org" TargetMode="External"/><Relationship Id="rId20" Type="http://schemas.openxmlformats.org/officeDocument/2006/relationships/hyperlink" Target="mailto:marndonohoe@phsj.org" TargetMode="External"/><Relationship Id="rId29" Type="http://schemas.openxmlformats.org/officeDocument/2006/relationships/hyperlink" Target="https://www.google.com/url?q=https://journalofethics.ama-assn.org/sites/journalofethics.ama-assn.org/files/2018-07/pfor1-0401.pdf&amp;sa=D&amp;source=editors&amp;ust=1679029592365275&amp;usg=AOvVaw1Ofj4P31xtVyUVH6oKGSv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Jt34I9c5vT2RpZtkg6Im2A/videos" TargetMode="External"/><Relationship Id="rId24" Type="http://schemas.openxmlformats.org/officeDocument/2006/relationships/hyperlink" Target="https://www.google.com/url?q=https://www.socialmedicine.info/index.php/socialmedicine/article/view/1123&amp;sa=D&amp;source=editors&amp;ust=1679029592363593&amp;usg=AOvVaw3oXXWqFcKdWBiiVStkvY1z" TargetMode="External"/><Relationship Id="rId32" Type="http://schemas.openxmlformats.org/officeDocument/2006/relationships/hyperlink" Target="https://www.google.com/url?q=https://www.npr.org/2022/06/27/1107715589/abortion-access-impact-on-men&amp;sa=D&amp;source=editors&amp;ust=1679029592366391&amp;usg=AOvVaw1pFDul-Ff6tdEnmteBpSKQ"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ublichealthandsocialjustice.org" TargetMode="External"/><Relationship Id="rId23" Type="http://schemas.openxmlformats.org/officeDocument/2006/relationships/hyperlink" Target="https://www.google.com/url?q=https://reproductiverights.org/wp-content/uploads/2021/09/Major-Medical-Groups-Amicus-Brief.pdf&amp;sa=D&amp;source=editors&amp;ust=1679029592363232&amp;usg=AOvVaw3oQM1xQah_ZRWH-SxSZbOa" TargetMode="External"/><Relationship Id="rId28" Type="http://schemas.openxmlformats.org/officeDocument/2006/relationships/hyperlink" Target="https://www.google.com/url?q=https://www.socialmedicine.info/index.php/medicinasocial/article/view/1221&amp;sa=D&amp;source=editors&amp;ust=1679029592364834&amp;usg=AOvVaw07v2LrJTcPIQ5-eI8D6YmR" TargetMode="External"/><Relationship Id="rId36" Type="http://schemas.openxmlformats.org/officeDocument/2006/relationships/image" Target="media/image1.png"/><Relationship Id="rId10" Type="http://schemas.openxmlformats.org/officeDocument/2006/relationships/hyperlink" Target="http://www.phsj.org" TargetMode="External"/><Relationship Id="rId19" Type="http://schemas.openxmlformats.org/officeDocument/2006/relationships/hyperlink" Target="https://phsj.org/public-health-and-social-justice-reader/" TargetMode="External"/><Relationship Id="rId31" Type="http://schemas.openxmlformats.org/officeDocument/2006/relationships/hyperlink" Target="https://www.google.com/url?q=https://www.ama-assn.org/delivering-care/ethics/code-medical-ethics-preface-preamble&amp;sa=D&amp;source=editors&amp;ust=1679029592365963&amp;usg=AOvVaw1nzDUzliltZ_tG_q1lTjIM" TargetMode="External"/><Relationship Id="rId4" Type="http://schemas.openxmlformats.org/officeDocument/2006/relationships/settings" Target="settings.xml"/><Relationship Id="rId9" Type="http://schemas.openxmlformats.org/officeDocument/2006/relationships/hyperlink" Target="http://www.publichealthandsocialjustice.org" TargetMode="External"/><Relationship Id="rId14" Type="http://schemas.openxmlformats.org/officeDocument/2006/relationships/hyperlink" Target="mailto:marndonohoe@phsj.org" TargetMode="External"/><Relationship Id="rId22" Type="http://schemas.openxmlformats.org/officeDocument/2006/relationships/hyperlink" Target="https://www.google.com/url?q=https://www.acog.org/news/news-releases/2022/07/more-than-75-health-care-organizations-release-joint-statement-in-opposition-to-legislative-interference&amp;sa=D&amp;source=editors&amp;ust=1679029592362659&amp;usg=AOvVaw1nuWQfp7Kg9k3q3J8SyoBY" TargetMode="External"/><Relationship Id="rId27" Type="http://schemas.openxmlformats.org/officeDocument/2006/relationships/hyperlink" Target="https://www.google.com/url?q=https://www.socialmedicine.info/index.php/socialmedicine/article/view/1223/2213&amp;sa=D&amp;source=editors&amp;ust=1679029592364597&amp;usg=AOvVaw189bxF3kB9vOCDijxSz0NG" TargetMode="External"/><Relationship Id="rId30" Type="http://schemas.openxmlformats.org/officeDocument/2006/relationships/hyperlink" Target="https://www.google.com/url?q=https://journalofethics.ama-assn.org/article/call-service-social-justice-public-health-issue/2014-09&amp;sa=D&amp;source=editors&amp;ust=1679029592365653&amp;usg=AOvVaw3CihgoqlTorQwDbMXwOkIZ" TargetMode="External"/><Relationship Id="rId35" Type="http://schemas.openxmlformats.org/officeDocument/2006/relationships/hyperlink" Target="https://www.google.com/url?q=https://journals.lww.com/greenjournal/Fulltext/9900/Projected_Implications_of_Overturning_Roe_v_Wade.449.aspx&amp;sa=D&amp;source=editors&amp;ust=1679029592368613&amp;usg=AOvVaw1-FbQ27EgnY-IsnWDRXSy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dicinasocial.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C11D-250E-49B2-8884-08D5D04E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2646</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ENAH</cp:lastModifiedBy>
  <cp:revision>4</cp:revision>
  <dcterms:created xsi:type="dcterms:W3CDTF">2023-03-30T17:43:00Z</dcterms:created>
  <dcterms:modified xsi:type="dcterms:W3CDTF">2023-03-30T20:12:00Z</dcterms:modified>
</cp:coreProperties>
</file>